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AB55"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bookmarkStart w:id="0" w:name="_GoBack"/>
      <w:bookmarkEnd w:id="0"/>
      <w:r w:rsidRPr="00765736">
        <w:rPr>
          <w:rFonts w:ascii="黑体" w:eastAsia="黑体" w:hAnsi="黑体" w:cs="宋体" w:hint="eastAsia"/>
          <w:color w:val="000000"/>
          <w:kern w:val="0"/>
          <w:sz w:val="31"/>
          <w:szCs w:val="31"/>
        </w:rPr>
        <w:t>附件2</w:t>
      </w:r>
    </w:p>
    <w:tbl>
      <w:tblPr>
        <w:tblW w:w="15000" w:type="dxa"/>
        <w:jc w:val="center"/>
        <w:tblCellMar>
          <w:left w:w="0" w:type="dxa"/>
          <w:right w:w="0" w:type="dxa"/>
        </w:tblCellMar>
        <w:tblLook w:val="04A0" w:firstRow="1" w:lastRow="0" w:firstColumn="1" w:lastColumn="0" w:noHBand="0" w:noVBand="1"/>
      </w:tblPr>
      <w:tblGrid>
        <w:gridCol w:w="845"/>
        <w:gridCol w:w="1213"/>
        <w:gridCol w:w="933"/>
        <w:gridCol w:w="5909"/>
        <w:gridCol w:w="4934"/>
        <w:gridCol w:w="1166"/>
      </w:tblGrid>
      <w:tr w:rsidR="00765736" w:rsidRPr="00765736" w14:paraId="36A67874" w14:textId="77777777" w:rsidTr="00765736">
        <w:trPr>
          <w:trHeight w:val="1039"/>
          <w:jc w:val="center"/>
        </w:trPr>
        <w:tc>
          <w:tcPr>
            <w:tcW w:w="14141" w:type="dxa"/>
            <w:gridSpan w:val="6"/>
            <w:tcBorders>
              <w:top w:val="nil"/>
              <w:left w:val="nil"/>
              <w:bottom w:val="nil"/>
              <w:right w:val="nil"/>
            </w:tcBorders>
            <w:noWrap/>
            <w:tcMar>
              <w:top w:w="15" w:type="dxa"/>
              <w:left w:w="15" w:type="dxa"/>
              <w:bottom w:w="0" w:type="dxa"/>
              <w:right w:w="15" w:type="dxa"/>
            </w:tcMar>
            <w:vAlign w:val="center"/>
            <w:hideMark/>
          </w:tcPr>
          <w:p w14:paraId="106CBD4A"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44"/>
                <w:szCs w:val="44"/>
              </w:rPr>
              <w:t>农村生活垃圾分类减量治理工作考评表</w:t>
            </w:r>
          </w:p>
        </w:tc>
      </w:tr>
      <w:tr w:rsidR="00765736" w:rsidRPr="00765736" w14:paraId="4A082CAC" w14:textId="77777777" w:rsidTr="00765736">
        <w:trPr>
          <w:trHeight w:val="450"/>
          <w:jc w:val="center"/>
        </w:trPr>
        <w:tc>
          <w:tcPr>
            <w:tcW w:w="14141" w:type="dxa"/>
            <w:gridSpan w:val="6"/>
            <w:tcBorders>
              <w:top w:val="nil"/>
              <w:left w:val="nil"/>
              <w:bottom w:val="single" w:sz="8" w:space="0" w:color="000000"/>
              <w:right w:val="nil"/>
            </w:tcBorders>
            <w:noWrap/>
            <w:tcMar>
              <w:top w:w="15" w:type="dxa"/>
              <w:left w:w="15" w:type="dxa"/>
              <w:bottom w:w="0" w:type="dxa"/>
              <w:right w:w="15" w:type="dxa"/>
            </w:tcMar>
            <w:vAlign w:val="center"/>
            <w:hideMark/>
          </w:tcPr>
          <w:p w14:paraId="2B67D94D" w14:textId="162D69FA"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村庄名称：       管辖户数：   开展垃圾分类减量户数：       填报时间：       填报单位：</w:t>
            </w:r>
          </w:p>
        </w:tc>
      </w:tr>
      <w:tr w:rsidR="00765736" w:rsidRPr="00765736" w14:paraId="2E3998ED" w14:textId="77777777" w:rsidTr="00765736">
        <w:trPr>
          <w:trHeight w:val="600"/>
          <w:jc w:val="center"/>
        </w:trPr>
        <w:tc>
          <w:tcPr>
            <w:tcW w:w="845"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6A6AA30"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序号</w:t>
            </w:r>
          </w:p>
        </w:tc>
        <w:tc>
          <w:tcPr>
            <w:tcW w:w="121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2DBB5E6"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考评内容</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1DE16D1"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分值</w:t>
            </w:r>
          </w:p>
        </w:tc>
        <w:tc>
          <w:tcPr>
            <w:tcW w:w="5050"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01E16BC"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考评标准</w:t>
            </w:r>
          </w:p>
        </w:tc>
        <w:tc>
          <w:tcPr>
            <w:tcW w:w="4934"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D5AF6BA"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得分标准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5B7FB88"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宋体" w:eastAsia="宋体" w:hAnsi="宋体" w:cs="宋体" w:hint="eastAsia"/>
                <w:b/>
                <w:bCs/>
                <w:color w:val="000000"/>
                <w:kern w:val="0"/>
                <w:sz w:val="24"/>
                <w:szCs w:val="24"/>
              </w:rPr>
              <w:t>得分</w:t>
            </w:r>
          </w:p>
        </w:tc>
      </w:tr>
      <w:tr w:rsidR="00765736" w:rsidRPr="00765736" w14:paraId="3853F6CE" w14:textId="77777777" w:rsidTr="00765736">
        <w:trPr>
          <w:trHeight w:val="1039"/>
          <w:jc w:val="center"/>
        </w:trPr>
        <w:tc>
          <w:tcPr>
            <w:tcW w:w="845"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2AC9423"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1</w:t>
            </w:r>
          </w:p>
        </w:tc>
        <w:tc>
          <w:tcPr>
            <w:tcW w:w="12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BBECF6"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制度制定</w:t>
            </w:r>
          </w:p>
          <w:p w14:paraId="017E8917"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（10分）</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5DE429"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7.5</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306EA90"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乡镇党委、政府制定本区域农村生活垃圾分类减量工作实施方案，其中要有组织保障和资金保障措施。</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B616A7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制定方案得5分；制定工作计划得2.5分；否则不得分。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33DE3AB"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1FF58BAA" w14:textId="77777777" w:rsidTr="00765736">
        <w:trPr>
          <w:trHeight w:val="10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3014F5"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A09F7F"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8139039"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2.5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190A052" w14:textId="77777777" w:rsidR="00765736" w:rsidRPr="00765736" w:rsidRDefault="00765736" w:rsidP="00765736">
            <w:pPr>
              <w:widowControl/>
              <w:spacing w:line="450" w:lineRule="atLeast"/>
              <w:jc w:val="left"/>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制定符合本乡镇实际的分类方法、工作制度、责任分工、考核方法等。</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4631372"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制定工作制度得2.5分；否则不得分。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7EDFC52"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353FFDEF" w14:textId="77777777" w:rsidTr="00765736">
        <w:trPr>
          <w:trHeight w:val="1099"/>
          <w:jc w:val="center"/>
        </w:trPr>
        <w:tc>
          <w:tcPr>
            <w:tcW w:w="845"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FBC33D"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b/>
                <w:bCs/>
                <w:color w:val="000000"/>
                <w:kern w:val="0"/>
                <w:sz w:val="24"/>
                <w:szCs w:val="24"/>
              </w:rPr>
              <w:t>2</w:t>
            </w:r>
          </w:p>
        </w:tc>
        <w:tc>
          <w:tcPr>
            <w:tcW w:w="12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A7DC3C4"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宣传发动</w:t>
            </w:r>
          </w:p>
          <w:p w14:paraId="05CC106C"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（20分）</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09EA707"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4</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17A55F6"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乡镇政府组织召开全镇动员大会；利用广播、电视等方式广泛宣传垃圾分类减量工作的重要意义。</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40B4D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召开会议得4分；采取2种以上宣传方式的得4分；采取1种宣传方式的得2分；否则不得分。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66614FD"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3ED141F8" w14:textId="77777777" w:rsidTr="00765736">
        <w:trPr>
          <w:trHeight w:val="12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FD935C"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0B32F3"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9AE57F1"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6</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0706CDA"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在村里显著位置设置生活垃圾分类减量宣传栏和生活垃圾分类公示牌；开展生活垃圾减量</w:t>
            </w:r>
            <w:proofErr w:type="gramStart"/>
            <w:r w:rsidRPr="00765736">
              <w:rPr>
                <w:rFonts w:ascii="仿宋" w:eastAsia="仿宋" w:hAnsi="仿宋" w:cs="宋体" w:hint="eastAsia"/>
                <w:color w:val="000000"/>
                <w:kern w:val="0"/>
                <w:sz w:val="24"/>
                <w:szCs w:val="24"/>
              </w:rPr>
              <w:t>分类户</w:t>
            </w:r>
            <w:proofErr w:type="gramEnd"/>
            <w:r w:rsidRPr="00765736">
              <w:rPr>
                <w:rFonts w:ascii="仿宋" w:eastAsia="仿宋" w:hAnsi="仿宋" w:cs="宋体" w:hint="eastAsia"/>
                <w:color w:val="000000"/>
                <w:kern w:val="0"/>
                <w:sz w:val="24"/>
                <w:szCs w:val="24"/>
              </w:rPr>
              <w:t>要有标识，分类方法要上墙。</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40CB8CC"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有“宣传栏”得2分；有“垃圾分类公示牌”得2分；有“方法上墙”得2分；否则不得分。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71A162A"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6DFD80AA" w14:textId="77777777" w:rsidTr="00765736">
        <w:trPr>
          <w:trHeight w:val="160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C928B"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EEDB54"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A60F0AB"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5</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3FDB115"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召开村“双委”班子成员、党员和村民代表会议，安排部署垃圾分类减量工作，充分调动他们的积极性，带动本村村民全员参与垃圾分类减量工作，并有效发挥带头引领作用。</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67F27C1"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召开会议得3分；村干部、党员和村民代表积极参与并起到带头作用得2分；否则不得分。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724E8A3"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28ED1022" w14:textId="77777777" w:rsidTr="00765736">
        <w:trPr>
          <w:trHeight w:val="144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3DF697"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29CA03"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B378FAF"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5</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D900811"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做到生活垃圾分类知识家喻户晓，知晓率不低于95%；全民参与，参与率不低于95%。</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9921F5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知晓率达到95%以上得2.5分；参与率达到95%以上得2.5分；否则不得分。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5C8F1B2"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521D7BA6" w14:textId="77777777" w:rsidTr="00765736">
        <w:trPr>
          <w:trHeight w:val="1280"/>
          <w:jc w:val="center"/>
        </w:trPr>
        <w:tc>
          <w:tcPr>
            <w:tcW w:w="845"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990B35B"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b/>
                <w:bCs/>
                <w:color w:val="000000"/>
                <w:kern w:val="0"/>
                <w:sz w:val="24"/>
                <w:szCs w:val="24"/>
              </w:rPr>
              <w:t>3</w:t>
            </w:r>
          </w:p>
        </w:tc>
        <w:tc>
          <w:tcPr>
            <w:tcW w:w="12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F3D7D15"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日常管理</w:t>
            </w:r>
          </w:p>
          <w:p w14:paraId="64F44BFE"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（30分）</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B14466A"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8</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3DDFCA5"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农户自家垃圾按照本地区确定的垃圾分类减量要求（可回收物、</w:t>
            </w:r>
            <w:proofErr w:type="gramStart"/>
            <w:r w:rsidRPr="00765736">
              <w:rPr>
                <w:rFonts w:ascii="仿宋" w:eastAsia="仿宋" w:hAnsi="仿宋" w:cs="宋体" w:hint="eastAsia"/>
                <w:color w:val="000000"/>
                <w:kern w:val="0"/>
                <w:sz w:val="24"/>
                <w:szCs w:val="24"/>
              </w:rPr>
              <w:t>厨余垃圾</w:t>
            </w:r>
            <w:proofErr w:type="gramEnd"/>
            <w:r w:rsidRPr="00765736">
              <w:rPr>
                <w:rFonts w:ascii="仿宋" w:eastAsia="仿宋" w:hAnsi="仿宋" w:cs="宋体" w:hint="eastAsia"/>
                <w:color w:val="000000"/>
                <w:kern w:val="0"/>
                <w:sz w:val="24"/>
                <w:szCs w:val="24"/>
              </w:rPr>
              <w:t>、有害垃圾、其他垃圾）实行科学分类。</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631F8E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按要求对垃圾进行科学合理分类的得8分；垃圾分类，但不认真、不彻底的扣4分；没进行分类的不得分。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6263073"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5075EE77" w14:textId="77777777" w:rsidTr="00765736">
        <w:trPr>
          <w:trHeight w:val="12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D8145"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F51879"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53B89CB8"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8</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61129C"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农户已经分类的垃圾，能够进行科学处理，做生活燃料的灶坑随时烧掉，可堆肥的要有沤粪池，有毒、有害垃圾和废旧衣物等集中存放。</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313EDB8"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对已经分类的垃圾能够做到科学处理的得8分；处理不及时或没有沤粪池的扣4分；不进行处理的不得分。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93A036"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6EA3800F" w14:textId="77777777" w:rsidTr="00765736">
        <w:trPr>
          <w:trHeight w:val="109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4A2392"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4377CC"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157AC33"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6</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B75C0E6"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对农户已经分类的垃圾，村里安排专人、专车定期进行分类收集和分类运输。</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F75FD0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村里对农户已经分类的垃圾定期分类收集和分类运输的得6分；没有定期分类收集的扣3分；没有定期分类运输的扣3分。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C78500B"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6DB13989" w14:textId="77777777" w:rsidTr="00765736">
        <w:trPr>
          <w:trHeight w:val="173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74C1AE"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36D7FF"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E093CC9"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8</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36DBB1E" w14:textId="77777777" w:rsidR="00765736" w:rsidRPr="00765736" w:rsidRDefault="00765736" w:rsidP="00765736">
            <w:pPr>
              <w:widowControl/>
              <w:spacing w:line="450" w:lineRule="atLeas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村里有固定的垃圾存放点和处理点，垃圾存放合理（可堆肥的要求建有沤粪池，有害垃圾和废旧衣物等要求集中存放），有具体的垃圾处理办法。</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3B04E69"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村里有垃圾存放点和处理点，垃圾存放合理，有垃圾处理办法得8分；没有垃圾</w:t>
            </w:r>
            <w:proofErr w:type="gramStart"/>
            <w:r w:rsidRPr="00765736">
              <w:rPr>
                <w:rFonts w:ascii="仿宋" w:eastAsia="仿宋" w:hAnsi="仿宋" w:cs="宋体" w:hint="eastAsia"/>
                <w:color w:val="000000"/>
                <w:kern w:val="0"/>
                <w:sz w:val="24"/>
                <w:szCs w:val="24"/>
              </w:rPr>
              <w:t>存放点扣2分</w:t>
            </w:r>
            <w:proofErr w:type="gramEnd"/>
            <w:r w:rsidRPr="00765736">
              <w:rPr>
                <w:rFonts w:ascii="仿宋" w:eastAsia="仿宋" w:hAnsi="仿宋" w:cs="宋体" w:hint="eastAsia"/>
                <w:color w:val="000000"/>
                <w:kern w:val="0"/>
                <w:sz w:val="24"/>
                <w:szCs w:val="24"/>
              </w:rPr>
              <w:t>；没有</w:t>
            </w:r>
            <w:proofErr w:type="gramStart"/>
            <w:r w:rsidRPr="00765736">
              <w:rPr>
                <w:rFonts w:ascii="仿宋" w:eastAsia="仿宋" w:hAnsi="仿宋" w:cs="宋体" w:hint="eastAsia"/>
                <w:color w:val="000000"/>
                <w:kern w:val="0"/>
                <w:sz w:val="24"/>
                <w:szCs w:val="24"/>
              </w:rPr>
              <w:t>垃圾处理点扣2分</w:t>
            </w:r>
            <w:proofErr w:type="gramEnd"/>
            <w:r w:rsidRPr="00765736">
              <w:rPr>
                <w:rFonts w:ascii="仿宋" w:eastAsia="仿宋" w:hAnsi="仿宋" w:cs="宋体" w:hint="eastAsia"/>
                <w:color w:val="000000"/>
                <w:kern w:val="0"/>
                <w:sz w:val="24"/>
                <w:szCs w:val="24"/>
              </w:rPr>
              <w:t>；垃圾存放不合理扣2分；没有具体可行的垃圾处理办法扣2分。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1DBCC3D3"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5D78ED2D" w14:textId="77777777" w:rsidTr="00765736">
        <w:trPr>
          <w:trHeight w:val="540"/>
          <w:jc w:val="center"/>
        </w:trPr>
        <w:tc>
          <w:tcPr>
            <w:tcW w:w="845" w:type="dxa"/>
            <w:vMerge w:val="restart"/>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2F92C57"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b/>
                <w:bCs/>
                <w:color w:val="000000"/>
                <w:kern w:val="0"/>
                <w:sz w:val="24"/>
                <w:szCs w:val="24"/>
              </w:rPr>
              <w:t>4</w:t>
            </w:r>
          </w:p>
        </w:tc>
        <w:tc>
          <w:tcPr>
            <w:tcW w:w="121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26CAE9"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取得成效（40）</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7434D86"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20</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C01D157"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建立分类垃圾临时存放设施。</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C8D145" w14:textId="77777777" w:rsidR="00765736" w:rsidRPr="00765736" w:rsidRDefault="00765736" w:rsidP="00765736">
            <w:pPr>
              <w:widowControl/>
              <w:spacing w:line="450" w:lineRule="atLeast"/>
              <w:jc w:val="left"/>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建立得20分；未建立不得分。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4F1115AA"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134BC3D2" w14:textId="77777777" w:rsidTr="00765736">
        <w:trPr>
          <w:trHeight w:val="10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2FD010"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4D9AD3"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nil"/>
              <w:left w:val="nil"/>
              <w:bottom w:val="nil"/>
              <w:right w:val="nil"/>
            </w:tcBorders>
            <w:noWrap/>
            <w:tcMar>
              <w:top w:w="15" w:type="dxa"/>
              <w:left w:w="15" w:type="dxa"/>
              <w:bottom w:w="0" w:type="dxa"/>
              <w:right w:w="15" w:type="dxa"/>
            </w:tcMar>
            <w:vAlign w:val="center"/>
            <w:hideMark/>
          </w:tcPr>
          <w:p w14:paraId="28398685"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10</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1EA5C1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垃圾分类减量成效显著</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6DB5B3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减少90%以上得10分;减少80%以上得8分;减少70%以上得5分，低于70%不得分。（减少率等于开展垃圾分类后的产生量除以开展垃圾分类前的产生量）</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3846E855"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69E8BB1A" w14:textId="77777777" w:rsidTr="00765736">
        <w:trPr>
          <w:trHeight w:val="88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A418F1"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5DC499" w14:textId="77777777" w:rsidR="00765736" w:rsidRPr="00765736" w:rsidRDefault="00765736" w:rsidP="00765736">
            <w:pPr>
              <w:widowControl/>
              <w:spacing w:line="450" w:lineRule="atLeast"/>
              <w:jc w:val="left"/>
              <w:rPr>
                <w:rFonts w:ascii="微软雅黑" w:eastAsia="微软雅黑" w:hAnsi="微软雅黑" w:cs="宋体"/>
                <w:color w:val="000000"/>
                <w:kern w:val="0"/>
                <w:szCs w:val="21"/>
              </w:rPr>
            </w:pP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E4BDC67"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10</w:t>
            </w: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F532573"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乡村整洁干净，村庄沟边、路边、河道、地头不准有成堆垃圾和飞散垃圾。</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3D071F1"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视野内无垃圾得10分；发现一处扣2分，扣完为止。</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6EAFD0C3"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1D907CF8" w14:textId="77777777" w:rsidTr="00765736">
        <w:trPr>
          <w:trHeight w:val="780"/>
          <w:jc w:val="center"/>
        </w:trPr>
        <w:tc>
          <w:tcPr>
            <w:tcW w:w="845"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05ED4CD"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仿宋" w:eastAsia="仿宋" w:hAnsi="仿宋" w:cs="宋体" w:hint="eastAsia"/>
                <w:b/>
                <w:bCs/>
                <w:color w:val="000000"/>
                <w:kern w:val="0"/>
                <w:sz w:val="24"/>
                <w:szCs w:val="24"/>
              </w:rPr>
              <w:t>5</w:t>
            </w:r>
          </w:p>
        </w:tc>
        <w:tc>
          <w:tcPr>
            <w:tcW w:w="121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711675B7" w14:textId="77777777" w:rsidR="00765736" w:rsidRPr="00765736" w:rsidRDefault="00765736" w:rsidP="00765736">
            <w:pPr>
              <w:widowControl/>
              <w:spacing w:line="450" w:lineRule="atLeast"/>
              <w:jc w:val="center"/>
              <w:textAlignment w:val="center"/>
              <w:rPr>
                <w:rFonts w:ascii="微软雅黑" w:eastAsia="微软雅黑" w:hAnsi="微软雅黑" w:cs="宋体" w:hint="eastAsia"/>
                <w:color w:val="000000"/>
                <w:kern w:val="0"/>
                <w:szCs w:val="21"/>
              </w:rPr>
            </w:pPr>
            <w:r w:rsidRPr="00765736">
              <w:rPr>
                <w:rFonts w:ascii="仿宋" w:eastAsia="仿宋" w:hAnsi="仿宋" w:cs="宋体" w:hint="eastAsia"/>
                <w:b/>
                <w:bCs/>
                <w:color w:val="000000"/>
                <w:kern w:val="0"/>
                <w:sz w:val="24"/>
                <w:szCs w:val="24"/>
              </w:rPr>
              <w:t>创新做法</w:t>
            </w:r>
          </w:p>
        </w:tc>
        <w:tc>
          <w:tcPr>
            <w:tcW w:w="933"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05AEE4FF" w14:textId="77777777" w:rsidR="00765736" w:rsidRPr="00765736" w:rsidRDefault="00765736" w:rsidP="00765736">
            <w:pPr>
              <w:widowControl/>
              <w:jc w:val="left"/>
              <w:rPr>
                <w:rFonts w:ascii="微软雅黑" w:eastAsia="微软雅黑" w:hAnsi="微软雅黑" w:cs="宋体" w:hint="eastAsia"/>
                <w:color w:val="000000"/>
                <w:kern w:val="0"/>
                <w:szCs w:val="21"/>
              </w:rPr>
            </w:pPr>
          </w:p>
        </w:tc>
        <w:tc>
          <w:tcPr>
            <w:tcW w:w="505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93B353" w14:textId="77777777" w:rsidR="00765736" w:rsidRPr="00765736" w:rsidRDefault="00765736" w:rsidP="00765736">
            <w:pPr>
              <w:widowControl/>
              <w:spacing w:line="450" w:lineRule="atLeast"/>
              <w:jc w:val="left"/>
              <w:textAlignment w:val="center"/>
              <w:rPr>
                <w:rFonts w:ascii="微软雅黑" w:eastAsia="微软雅黑" w:hAnsi="微软雅黑" w:cs="宋体"/>
                <w:color w:val="000000"/>
                <w:kern w:val="0"/>
                <w:szCs w:val="21"/>
              </w:rPr>
            </w:pPr>
            <w:r w:rsidRPr="00765736">
              <w:rPr>
                <w:rFonts w:ascii="仿宋" w:eastAsia="仿宋" w:hAnsi="仿宋" w:cs="宋体" w:hint="eastAsia"/>
                <w:color w:val="000000"/>
                <w:kern w:val="0"/>
                <w:sz w:val="24"/>
                <w:szCs w:val="24"/>
              </w:rPr>
              <w:t>积极探索在垃圾分类减量工作中的好做法。</w:t>
            </w:r>
          </w:p>
        </w:tc>
        <w:tc>
          <w:tcPr>
            <w:tcW w:w="4934"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A5342D5" w14:textId="77777777" w:rsidR="00765736" w:rsidRPr="00765736" w:rsidRDefault="00765736" w:rsidP="00765736">
            <w:pPr>
              <w:widowControl/>
              <w:spacing w:line="450" w:lineRule="atLeast"/>
              <w:jc w:val="left"/>
              <w:textAlignment w:val="center"/>
              <w:rPr>
                <w:rFonts w:ascii="微软雅黑" w:eastAsia="微软雅黑" w:hAnsi="微软雅黑" w:cs="宋体" w:hint="eastAsia"/>
                <w:color w:val="000000"/>
                <w:kern w:val="0"/>
                <w:szCs w:val="21"/>
              </w:rPr>
            </w:pPr>
            <w:r w:rsidRPr="00765736">
              <w:rPr>
                <w:rFonts w:ascii="仿宋" w:eastAsia="仿宋" w:hAnsi="仿宋" w:cs="宋体" w:hint="eastAsia"/>
                <w:color w:val="000000"/>
                <w:kern w:val="0"/>
                <w:sz w:val="24"/>
                <w:szCs w:val="24"/>
              </w:rPr>
              <w:t>有1项创新做法加5分。</w:t>
            </w:r>
          </w:p>
        </w:tc>
        <w:tc>
          <w:tcPr>
            <w:tcW w:w="1166" w:type="dxa"/>
            <w:tcBorders>
              <w:top w:val="single" w:sz="8" w:space="0" w:color="000000"/>
              <w:left w:val="single" w:sz="8" w:space="0" w:color="000000"/>
              <w:bottom w:val="single" w:sz="8" w:space="0" w:color="000000"/>
              <w:right w:val="single" w:sz="8" w:space="0" w:color="000000"/>
            </w:tcBorders>
            <w:noWrap/>
            <w:tcMar>
              <w:top w:w="15" w:type="dxa"/>
              <w:left w:w="15" w:type="dxa"/>
              <w:bottom w:w="0" w:type="dxa"/>
              <w:right w:w="15" w:type="dxa"/>
            </w:tcMar>
            <w:vAlign w:val="center"/>
            <w:hideMark/>
          </w:tcPr>
          <w:p w14:paraId="2737AA64" w14:textId="77777777" w:rsidR="00765736" w:rsidRPr="00765736" w:rsidRDefault="00765736" w:rsidP="00765736">
            <w:pPr>
              <w:widowControl/>
              <w:jc w:val="left"/>
              <w:rPr>
                <w:rFonts w:ascii="微软雅黑" w:eastAsia="微软雅黑" w:hAnsi="微软雅黑" w:cs="宋体" w:hint="eastAsia"/>
                <w:color w:val="000000"/>
                <w:kern w:val="0"/>
                <w:szCs w:val="21"/>
              </w:rPr>
            </w:pPr>
          </w:p>
        </w:tc>
      </w:tr>
      <w:tr w:rsidR="00765736" w:rsidRPr="00765736" w14:paraId="567F5C60" w14:textId="77777777" w:rsidTr="00765736">
        <w:trPr>
          <w:trHeight w:val="559"/>
          <w:jc w:val="center"/>
        </w:trPr>
        <w:tc>
          <w:tcPr>
            <w:tcW w:w="2058" w:type="dxa"/>
            <w:gridSpan w:val="2"/>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B170A3D" w14:textId="77777777" w:rsidR="00765736" w:rsidRPr="00765736" w:rsidRDefault="00765736" w:rsidP="00765736">
            <w:pPr>
              <w:widowControl/>
              <w:spacing w:line="450" w:lineRule="atLeast"/>
              <w:jc w:val="center"/>
              <w:textAlignment w:val="center"/>
              <w:rPr>
                <w:rFonts w:ascii="微软雅黑" w:eastAsia="微软雅黑" w:hAnsi="微软雅黑" w:cs="宋体"/>
                <w:color w:val="000000"/>
                <w:kern w:val="0"/>
                <w:szCs w:val="21"/>
              </w:rPr>
            </w:pPr>
            <w:r w:rsidRPr="00765736">
              <w:rPr>
                <w:rFonts w:ascii="宋体" w:eastAsia="宋体" w:hAnsi="宋体" w:cs="宋体" w:hint="eastAsia"/>
                <w:b/>
                <w:bCs/>
                <w:color w:val="000000"/>
                <w:kern w:val="0"/>
                <w:sz w:val="24"/>
                <w:szCs w:val="24"/>
              </w:rPr>
              <w:t>合计得分</w:t>
            </w:r>
          </w:p>
        </w:tc>
        <w:tc>
          <w:tcPr>
            <w:tcW w:w="933" w:type="dxa"/>
            <w:tcBorders>
              <w:top w:val="single" w:sz="8" w:space="0" w:color="000000"/>
              <w:left w:val="nil"/>
              <w:bottom w:val="single" w:sz="8" w:space="0" w:color="000000"/>
              <w:right w:val="nil"/>
            </w:tcBorders>
            <w:tcMar>
              <w:top w:w="15" w:type="dxa"/>
              <w:left w:w="15" w:type="dxa"/>
              <w:bottom w:w="0" w:type="dxa"/>
              <w:right w:w="15" w:type="dxa"/>
            </w:tcMar>
            <w:vAlign w:val="center"/>
            <w:hideMark/>
          </w:tcPr>
          <w:p w14:paraId="4DF09F53" w14:textId="77777777" w:rsidR="00765736" w:rsidRPr="00765736" w:rsidRDefault="00765736" w:rsidP="00765736">
            <w:pPr>
              <w:widowControl/>
              <w:jc w:val="left"/>
              <w:rPr>
                <w:rFonts w:ascii="微软雅黑" w:eastAsia="微软雅黑" w:hAnsi="微软雅黑" w:cs="宋体" w:hint="eastAsia"/>
                <w:color w:val="000000"/>
                <w:kern w:val="0"/>
                <w:szCs w:val="21"/>
              </w:rPr>
            </w:pPr>
          </w:p>
        </w:tc>
        <w:tc>
          <w:tcPr>
            <w:tcW w:w="5050" w:type="dxa"/>
            <w:tcBorders>
              <w:top w:val="single" w:sz="8" w:space="0" w:color="000000"/>
              <w:left w:val="nil"/>
              <w:bottom w:val="single" w:sz="8" w:space="0" w:color="000000"/>
              <w:right w:val="nil"/>
            </w:tcBorders>
            <w:tcMar>
              <w:top w:w="15" w:type="dxa"/>
              <w:left w:w="15" w:type="dxa"/>
              <w:bottom w:w="0" w:type="dxa"/>
              <w:right w:w="15" w:type="dxa"/>
            </w:tcMar>
            <w:vAlign w:val="center"/>
            <w:hideMark/>
          </w:tcPr>
          <w:p w14:paraId="231D12D6" w14:textId="77777777" w:rsidR="00765736" w:rsidRPr="00765736" w:rsidRDefault="00765736" w:rsidP="00765736">
            <w:pPr>
              <w:widowControl/>
              <w:jc w:val="left"/>
              <w:rPr>
                <w:rFonts w:ascii="Times New Roman" w:eastAsia="Times New Roman" w:hAnsi="Times New Roman" w:cs="Times New Roman"/>
                <w:kern w:val="0"/>
                <w:sz w:val="20"/>
                <w:szCs w:val="20"/>
              </w:rPr>
            </w:pPr>
          </w:p>
        </w:tc>
        <w:tc>
          <w:tcPr>
            <w:tcW w:w="4934" w:type="dxa"/>
            <w:tcBorders>
              <w:top w:val="single" w:sz="8" w:space="0" w:color="000000"/>
              <w:left w:val="nil"/>
              <w:bottom w:val="single" w:sz="8" w:space="0" w:color="000000"/>
              <w:right w:val="nil"/>
            </w:tcBorders>
            <w:tcMar>
              <w:top w:w="15" w:type="dxa"/>
              <w:left w:w="15" w:type="dxa"/>
              <w:bottom w:w="0" w:type="dxa"/>
              <w:right w:w="15" w:type="dxa"/>
            </w:tcMar>
            <w:vAlign w:val="center"/>
            <w:hideMark/>
          </w:tcPr>
          <w:p w14:paraId="2D6873DC" w14:textId="77777777" w:rsidR="00765736" w:rsidRPr="00765736" w:rsidRDefault="00765736" w:rsidP="00765736">
            <w:pPr>
              <w:widowControl/>
              <w:jc w:val="left"/>
              <w:rPr>
                <w:rFonts w:ascii="Times New Roman" w:eastAsia="Times New Roman" w:hAnsi="Times New Roman" w:cs="Times New Roman"/>
                <w:kern w:val="0"/>
                <w:sz w:val="20"/>
                <w:szCs w:val="20"/>
              </w:rPr>
            </w:pPr>
          </w:p>
        </w:tc>
        <w:tc>
          <w:tcPr>
            <w:tcW w:w="0" w:type="auto"/>
            <w:vAlign w:val="center"/>
            <w:hideMark/>
          </w:tcPr>
          <w:p w14:paraId="1B3189C7" w14:textId="77777777" w:rsidR="00765736" w:rsidRPr="00765736" w:rsidRDefault="00765736" w:rsidP="00765736">
            <w:pPr>
              <w:widowControl/>
              <w:spacing w:line="450" w:lineRule="atLeast"/>
              <w:jc w:val="left"/>
              <w:rPr>
                <w:rFonts w:ascii="Times New Roman" w:eastAsia="Times New Roman" w:hAnsi="Times New Roman" w:cs="Times New Roman"/>
                <w:kern w:val="0"/>
                <w:sz w:val="20"/>
                <w:szCs w:val="20"/>
              </w:rPr>
            </w:pPr>
            <w:r w:rsidRPr="00765736">
              <w:rPr>
                <w:rFonts w:ascii="宋体" w:eastAsia="宋体" w:hAnsi="宋体" w:cs="宋体" w:hint="eastAsia"/>
                <w:color w:val="666666"/>
                <w:kern w:val="0"/>
                <w:sz w:val="18"/>
                <w:szCs w:val="18"/>
              </w:rPr>
              <w:br/>
            </w:r>
          </w:p>
        </w:tc>
      </w:tr>
    </w:tbl>
    <w:p w14:paraId="2447D9B6" w14:textId="77777777" w:rsidR="00382CBA" w:rsidRPr="00382CBA" w:rsidRDefault="00382CBA" w:rsidP="00382CBA">
      <w:pPr>
        <w:spacing w:line="600" w:lineRule="exact"/>
        <w:rPr>
          <w:rFonts w:ascii="仿宋_GB2312" w:eastAsia="仿宋_GB2312"/>
          <w:sz w:val="32"/>
          <w:szCs w:val="32"/>
        </w:rPr>
      </w:pPr>
    </w:p>
    <w:sectPr w:rsidR="00382CBA" w:rsidRPr="00382CBA" w:rsidSect="00765736">
      <w:pgSz w:w="16838" w:h="11906" w:orient="landscape"/>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E745" w14:textId="77777777" w:rsidR="00281D44" w:rsidRDefault="00281D44" w:rsidP="00CD0EEC">
      <w:r>
        <w:separator/>
      </w:r>
    </w:p>
  </w:endnote>
  <w:endnote w:type="continuationSeparator" w:id="0">
    <w:p w14:paraId="7F92D5E4" w14:textId="77777777" w:rsidR="00281D44" w:rsidRDefault="00281D44" w:rsidP="00CD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BF82" w14:textId="77777777" w:rsidR="00281D44" w:rsidRDefault="00281D44" w:rsidP="00CD0EEC">
      <w:r>
        <w:separator/>
      </w:r>
    </w:p>
  </w:footnote>
  <w:footnote w:type="continuationSeparator" w:id="0">
    <w:p w14:paraId="57C218D2" w14:textId="77777777" w:rsidR="00281D44" w:rsidRDefault="00281D44" w:rsidP="00CD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8F"/>
    <w:rsid w:val="00053892"/>
    <w:rsid w:val="00281D44"/>
    <w:rsid w:val="00382CBA"/>
    <w:rsid w:val="00765736"/>
    <w:rsid w:val="00CD0EEC"/>
    <w:rsid w:val="00EE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38D303-C38D-4B81-87BC-134D1CF8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0EEC"/>
    <w:rPr>
      <w:sz w:val="18"/>
      <w:szCs w:val="18"/>
    </w:rPr>
  </w:style>
  <w:style w:type="paragraph" w:styleId="a5">
    <w:name w:val="footer"/>
    <w:basedOn w:val="a"/>
    <w:link w:val="a6"/>
    <w:uiPriority w:val="99"/>
    <w:unhideWhenUsed/>
    <w:rsid w:val="00CD0EEC"/>
    <w:pPr>
      <w:tabs>
        <w:tab w:val="center" w:pos="4153"/>
        <w:tab w:val="right" w:pos="8306"/>
      </w:tabs>
      <w:snapToGrid w:val="0"/>
      <w:jc w:val="left"/>
    </w:pPr>
    <w:rPr>
      <w:sz w:val="18"/>
      <w:szCs w:val="18"/>
    </w:rPr>
  </w:style>
  <w:style w:type="character" w:customStyle="1" w:styleId="a6">
    <w:name w:val="页脚 字符"/>
    <w:basedOn w:val="a0"/>
    <w:link w:val="a5"/>
    <w:uiPriority w:val="99"/>
    <w:rsid w:val="00CD0EEC"/>
    <w:rPr>
      <w:sz w:val="18"/>
      <w:szCs w:val="18"/>
    </w:rPr>
  </w:style>
  <w:style w:type="character" w:customStyle="1" w:styleId="msonormal1">
    <w:name w:val="msonormal1"/>
    <w:basedOn w:val="a0"/>
    <w:rsid w:val="0076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minglei zhang</dc:creator>
  <cp:keywords/>
  <dc:description/>
  <cp:lastModifiedBy>minglei zhang</cp:lastModifiedBy>
  <cp:revision>2</cp:revision>
  <dcterms:created xsi:type="dcterms:W3CDTF">2022-04-26T05:46:00Z</dcterms:created>
  <dcterms:modified xsi:type="dcterms:W3CDTF">2022-04-26T05:47:00Z</dcterms:modified>
</cp:coreProperties>
</file>