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60" w:firstLineChars="50"/>
        <w:jc w:val="center"/>
        <w:rPr>
          <w:rFonts w:ascii="仿宋_GB2312" w:hAnsi="仿宋_GB2312" w:eastAsia="仿宋_GB2312" w:cs="仿宋_GB2312"/>
          <w:b/>
          <w:sz w:val="52"/>
          <w:szCs w:val="52"/>
        </w:rPr>
      </w:pPr>
    </w:p>
    <w:p>
      <w:pPr>
        <w:spacing w:line="360" w:lineRule="auto"/>
        <w:ind w:firstLine="260" w:firstLineChars="50"/>
        <w:jc w:val="center"/>
        <w:rPr>
          <w:rFonts w:ascii="仿宋_GB2312" w:hAnsi="仿宋_GB2312" w:eastAsia="仿宋_GB2312" w:cs="仿宋_GB2312"/>
          <w:b/>
          <w:sz w:val="52"/>
          <w:szCs w:val="52"/>
        </w:rPr>
      </w:pPr>
    </w:p>
    <w:p>
      <w:pPr>
        <w:spacing w:line="360" w:lineRule="auto"/>
        <w:ind w:firstLine="260" w:firstLineChars="50"/>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辽宁省政府采购项目</w:t>
      </w:r>
    </w:p>
    <w:p>
      <w:pPr>
        <w:spacing w:line="360" w:lineRule="auto"/>
        <w:ind w:firstLine="120" w:firstLineChars="50"/>
        <w:jc w:val="center"/>
        <w:rPr>
          <w:rFonts w:ascii="仿宋_GB2312" w:hAnsi="仿宋_GB2312" w:eastAsia="仿宋_GB2312" w:cs="仿宋_GB2312"/>
          <w:b/>
          <w:sz w:val="24"/>
        </w:rPr>
      </w:pPr>
    </w:p>
    <w:p>
      <w:pPr>
        <w:spacing w:line="360" w:lineRule="auto"/>
        <w:ind w:firstLine="240" w:firstLineChars="50"/>
        <w:jc w:val="center"/>
        <w:rPr>
          <w:rFonts w:ascii="仿宋_GB2312" w:hAnsi="仿宋_GB2312" w:eastAsia="仿宋_GB2312" w:cs="仿宋_GB2312"/>
          <w:b/>
          <w:sz w:val="48"/>
          <w:szCs w:val="48"/>
        </w:rPr>
      </w:pPr>
      <w:r>
        <w:rPr>
          <w:rFonts w:hint="eastAsia" w:ascii="仿宋_GB2312" w:hAnsi="仿宋_GB2312" w:eastAsia="仿宋_GB2312" w:cs="仿宋_GB2312"/>
          <w:b/>
          <w:sz w:val="48"/>
          <w:szCs w:val="48"/>
        </w:rPr>
        <w:t>服务类公开招标</w:t>
      </w:r>
    </w:p>
    <w:p>
      <w:pPr>
        <w:spacing w:line="360" w:lineRule="auto"/>
        <w:ind w:firstLine="120" w:firstLineChars="50"/>
        <w:jc w:val="center"/>
        <w:rPr>
          <w:rFonts w:ascii="仿宋_GB2312" w:hAnsi="仿宋_GB2312" w:eastAsia="仿宋_GB2312" w:cs="仿宋_GB2312"/>
          <w:b/>
          <w:sz w:val="24"/>
        </w:rPr>
      </w:pPr>
    </w:p>
    <w:p>
      <w:pPr>
        <w:spacing w:line="360" w:lineRule="auto"/>
        <w:ind w:firstLine="240" w:firstLineChars="50"/>
        <w:jc w:val="center"/>
        <w:rPr>
          <w:rFonts w:ascii="仿宋_GB2312" w:hAnsi="仿宋_GB2312" w:eastAsia="仿宋_GB2312" w:cs="仿宋_GB2312"/>
          <w:b/>
          <w:sz w:val="48"/>
          <w:szCs w:val="48"/>
        </w:rPr>
      </w:pPr>
      <w:r>
        <w:rPr>
          <w:rFonts w:hint="eastAsia" w:ascii="仿宋_GB2312" w:hAnsi="仿宋_GB2312" w:eastAsia="仿宋_GB2312" w:cs="仿宋_GB2312"/>
          <w:b/>
          <w:sz w:val="48"/>
          <w:szCs w:val="48"/>
        </w:rPr>
        <w:t>招标文件</w:t>
      </w:r>
    </w:p>
    <w:p>
      <w:pPr>
        <w:spacing w:line="480" w:lineRule="exact"/>
        <w:jc w:val="center"/>
        <w:rPr>
          <w:rFonts w:ascii="仿宋_GB2312" w:hAnsi="仿宋_GB2312" w:eastAsia="仿宋_GB2312" w:cs="仿宋_GB2312"/>
          <w:b/>
          <w:sz w:val="24"/>
        </w:rPr>
      </w:pPr>
    </w:p>
    <w:p>
      <w:pPr>
        <w:spacing w:line="480" w:lineRule="exact"/>
        <w:jc w:val="center"/>
        <w:rPr>
          <w:rFonts w:ascii="仿宋_GB2312" w:hAnsi="仿宋_GB2312" w:eastAsia="仿宋_GB2312" w:cs="仿宋_GB2312"/>
          <w:b/>
          <w:sz w:val="24"/>
        </w:rPr>
      </w:pPr>
    </w:p>
    <w:p>
      <w:pPr>
        <w:spacing w:line="480" w:lineRule="exact"/>
        <w:jc w:val="center"/>
        <w:rPr>
          <w:rFonts w:ascii="仿宋_GB2312" w:hAnsi="仿宋_GB2312" w:eastAsia="仿宋_GB2312" w:cs="仿宋_GB2312"/>
          <w:b/>
          <w:sz w:val="24"/>
        </w:rPr>
      </w:pPr>
    </w:p>
    <w:p>
      <w:pPr>
        <w:spacing w:line="480" w:lineRule="exact"/>
        <w:jc w:val="center"/>
        <w:rPr>
          <w:rFonts w:ascii="仿宋_GB2312" w:hAnsi="仿宋_GB2312" w:eastAsia="仿宋_GB2312" w:cs="仿宋_GB2312"/>
          <w:b/>
          <w:sz w:val="24"/>
        </w:rPr>
      </w:pPr>
    </w:p>
    <w:p>
      <w:pPr>
        <w:spacing w:line="480" w:lineRule="exact"/>
        <w:jc w:val="center"/>
        <w:rPr>
          <w:rFonts w:ascii="仿宋_GB2312" w:hAnsi="仿宋_GB2312" w:eastAsia="仿宋_GB2312" w:cs="仿宋_GB2312"/>
          <w:b/>
          <w:sz w:val="24"/>
        </w:rPr>
      </w:pPr>
    </w:p>
    <w:p>
      <w:pPr>
        <w:spacing w:line="480" w:lineRule="exact"/>
        <w:jc w:val="center"/>
        <w:rPr>
          <w:rFonts w:ascii="仿宋_GB2312" w:hAnsi="仿宋_GB2312" w:eastAsia="仿宋_GB2312" w:cs="仿宋_GB2312"/>
          <w:b/>
          <w:sz w:val="24"/>
        </w:rPr>
      </w:pPr>
    </w:p>
    <w:p>
      <w:pPr>
        <w:spacing w:line="480" w:lineRule="exact"/>
        <w:jc w:val="center"/>
        <w:rPr>
          <w:rFonts w:ascii="仿宋_GB2312" w:hAnsi="仿宋_GB2312" w:eastAsia="仿宋_GB2312" w:cs="仿宋_GB2312"/>
          <w:b/>
          <w:sz w:val="24"/>
        </w:rPr>
      </w:pPr>
    </w:p>
    <w:p>
      <w:pPr>
        <w:spacing w:line="480" w:lineRule="exact"/>
        <w:jc w:val="center"/>
        <w:rPr>
          <w:rFonts w:hint="eastAsia" w:ascii="仿宋_GB2312" w:hAnsi="仿宋_GB2312" w:eastAsia="仿宋_GB2312" w:cs="仿宋_GB2312"/>
          <w:b/>
          <w:sz w:val="24"/>
        </w:rPr>
      </w:pPr>
    </w:p>
    <w:p>
      <w:pPr>
        <w:spacing w:line="360" w:lineRule="auto"/>
        <w:ind w:firstLine="846" w:firstLineChars="235"/>
        <w:rPr>
          <w:rFonts w:ascii="仿宋_GB2312" w:hAnsi="仿宋_GB2312" w:eastAsia="仿宋_GB2312" w:cs="仿宋_GB2312"/>
          <w:b/>
          <w:sz w:val="36"/>
          <w:szCs w:val="36"/>
        </w:rPr>
      </w:pPr>
      <w:r>
        <w:rPr>
          <w:rFonts w:hint="eastAsia" w:ascii="仿宋_GB2312" w:hAnsi="仿宋_GB2312" w:eastAsia="仿宋_GB2312" w:cs="仿宋_GB2312"/>
          <w:b/>
          <w:sz w:val="36"/>
          <w:szCs w:val="36"/>
        </w:rPr>
        <w:t>项目名称：</w:t>
      </w:r>
      <w:bookmarkStart w:id="0" w:name="_Hlk144213508"/>
      <w:r>
        <w:rPr>
          <w:rFonts w:hint="eastAsia" w:ascii="仿宋_GB2312" w:hAnsi="仿宋_GB2312" w:eastAsia="仿宋_GB2312" w:cs="仿宋_GB2312"/>
          <w:b/>
          <w:sz w:val="36"/>
          <w:szCs w:val="36"/>
        </w:rPr>
        <w:t>铁岭县集体土地所有权确权登记更新成果、集体建设用地使用权成果入库汇交和林业林权登记成果更新数据入库汇交</w:t>
      </w:r>
      <w:bookmarkEnd w:id="0"/>
    </w:p>
    <w:p>
      <w:pPr>
        <w:spacing w:line="360" w:lineRule="auto"/>
        <w:ind w:firstLine="846" w:firstLineChars="235"/>
        <w:rPr>
          <w:rFonts w:ascii="仿宋_GB2312" w:hAnsi="仿宋_GB2312" w:eastAsia="仿宋_GB2312" w:cs="仿宋_GB2312"/>
          <w:b/>
          <w:sz w:val="36"/>
          <w:szCs w:val="36"/>
        </w:rPr>
      </w:pPr>
      <w:r>
        <w:rPr>
          <w:rFonts w:hint="eastAsia" w:ascii="仿宋_GB2312" w:hAnsi="仿宋_GB2312" w:eastAsia="仿宋_GB2312" w:cs="仿宋_GB2312"/>
          <w:b/>
          <w:sz w:val="36"/>
          <w:szCs w:val="36"/>
        </w:rPr>
        <w:t>项目编号：</w:t>
      </w:r>
      <w:r>
        <w:rPr>
          <w:rFonts w:ascii="仿宋" w:hAnsi="仿宋" w:cs="仿宋"/>
          <w:b/>
          <w:iCs/>
          <w:sz w:val="36"/>
          <w:szCs w:val="36"/>
        </w:rPr>
        <w:t>JH23-211221-00088</w:t>
      </w:r>
    </w:p>
    <w:p>
      <w:pPr>
        <w:spacing w:line="360" w:lineRule="auto"/>
        <w:ind w:firstLine="846" w:firstLineChars="235"/>
        <w:rPr>
          <w:rFonts w:ascii="仿宋_GB2312" w:hAnsi="仿宋_GB2312" w:eastAsia="仿宋_GB2312" w:cs="仿宋_GB2312"/>
          <w:b/>
          <w:bCs/>
          <w:sz w:val="44"/>
          <w:szCs w:val="44"/>
        </w:rPr>
      </w:pPr>
      <w:r>
        <w:rPr>
          <w:rFonts w:hint="eastAsia" w:ascii="仿宋_GB2312" w:hAnsi="仿宋_GB2312" w:eastAsia="仿宋_GB2312" w:cs="仿宋_GB2312"/>
          <w:b/>
          <w:sz w:val="36"/>
          <w:szCs w:val="36"/>
        </w:rPr>
        <w:t>编制单位：沈阳益铭招投标咨询有限公司</w:t>
      </w:r>
    </w:p>
    <w:p>
      <w:pPr>
        <w:jc w:val="center"/>
        <w:rPr>
          <w:rFonts w:ascii="仿宋_GB2312" w:hAnsi="仿宋_GB2312" w:eastAsia="仿宋_GB2312" w:cs="仿宋_GB2312"/>
          <w:b/>
          <w:bCs/>
          <w:sz w:val="44"/>
          <w:szCs w:val="44"/>
        </w:rPr>
        <w:sectPr>
          <w:pgSz w:w="11906" w:h="16838"/>
          <w:pgMar w:top="1440" w:right="2125" w:bottom="1440" w:left="1803" w:header="851" w:footer="992" w:gutter="0"/>
          <w:pgNumType w:start="1"/>
          <w:cols w:space="720" w:num="1"/>
          <w:docGrid w:type="linesAndChars" w:linePitch="312" w:charSpace="0"/>
        </w:sectPr>
      </w:pPr>
    </w:p>
    <w:p>
      <w:pPr>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目  录</w:t>
      </w:r>
    </w:p>
    <w:p>
      <w:pPr>
        <w:jc w:val="center"/>
        <w:rPr>
          <w:rFonts w:ascii="仿宋_GB2312" w:hAnsi="仿宋_GB2312" w:eastAsia="仿宋_GB2312" w:cs="仿宋_GB2312"/>
          <w:b/>
          <w:bCs/>
          <w:sz w:val="44"/>
          <w:szCs w:val="44"/>
        </w:rPr>
      </w:pPr>
    </w:p>
    <w:p>
      <w:pPr>
        <w:pStyle w:val="23"/>
        <w:tabs>
          <w:tab w:val="right" w:leader="dot" w:pos="8300"/>
        </w:tabs>
        <w:spacing w:line="480" w:lineRule="auto"/>
        <w:rPr>
          <w:rFonts w:ascii="仿宋" w:hAnsi="仿宋"/>
          <w:b/>
          <w:bCs/>
          <w:sz w:val="24"/>
          <w:lang w:val="en-US" w:eastAsia="zh-CN"/>
        </w:rPr>
      </w:pPr>
      <w:r>
        <w:rPr>
          <w:rFonts w:ascii="仿宋" w:hAnsi="仿宋"/>
          <w:b/>
          <w:bCs/>
          <w:sz w:val="24"/>
        </w:rPr>
        <w:fldChar w:fldCharType="begin"/>
      </w:r>
      <w:r>
        <w:rPr>
          <w:rFonts w:ascii="仿宋" w:hAnsi="仿宋"/>
          <w:b/>
          <w:bCs/>
          <w:sz w:val="24"/>
        </w:rPr>
        <w:instrText xml:space="preserve">TOC \o "1-1" \h \u </w:instrText>
      </w:r>
      <w:r>
        <w:rPr>
          <w:rFonts w:ascii="仿宋" w:hAnsi="仿宋"/>
          <w:b/>
          <w:bCs/>
          <w:sz w:val="24"/>
        </w:rPr>
        <w:fldChar w:fldCharType="separate"/>
      </w:r>
      <w:r>
        <w:fldChar w:fldCharType="begin"/>
      </w:r>
      <w:r>
        <w:instrText xml:space="preserve"> HYPERLINK \l "_Toc9521" </w:instrText>
      </w:r>
      <w:r>
        <w:fldChar w:fldCharType="separate"/>
      </w:r>
      <w:r>
        <w:rPr>
          <w:rFonts w:hint="eastAsia" w:ascii="仿宋" w:hAnsi="仿宋" w:cs="仿宋_GB2312"/>
          <w:b/>
          <w:bCs/>
          <w:sz w:val="24"/>
          <w:lang w:val="en-US" w:eastAsia="zh-CN"/>
        </w:rPr>
        <w:t>招标公告</w:t>
      </w:r>
      <w:r>
        <w:rPr>
          <w:rFonts w:ascii="仿宋" w:hAnsi="仿宋"/>
          <w:b/>
          <w:bCs/>
          <w:sz w:val="24"/>
          <w:lang w:val="en-US" w:eastAsia="zh-CN"/>
        </w:rPr>
        <w:tab/>
      </w:r>
      <w:r>
        <w:rPr>
          <w:rFonts w:ascii="仿宋" w:hAnsi="仿宋"/>
          <w:b/>
          <w:bCs/>
          <w:sz w:val="24"/>
          <w:lang w:val="en-US" w:eastAsia="zh-CN"/>
        </w:rPr>
        <w:fldChar w:fldCharType="begin"/>
      </w:r>
      <w:r>
        <w:rPr>
          <w:rFonts w:ascii="仿宋" w:hAnsi="仿宋"/>
          <w:b/>
          <w:bCs/>
          <w:sz w:val="24"/>
          <w:lang w:val="en-US" w:eastAsia="zh-CN"/>
        </w:rPr>
        <w:instrText xml:space="preserve"> PAGEREF _Toc9521 </w:instrText>
      </w:r>
      <w:r>
        <w:rPr>
          <w:rFonts w:ascii="仿宋" w:hAnsi="仿宋"/>
          <w:b/>
          <w:bCs/>
          <w:sz w:val="24"/>
          <w:lang w:val="en-US" w:eastAsia="zh-CN"/>
        </w:rPr>
        <w:fldChar w:fldCharType="separate"/>
      </w:r>
      <w:r>
        <w:rPr>
          <w:rFonts w:ascii="仿宋" w:hAnsi="仿宋"/>
          <w:b/>
          <w:bCs/>
          <w:sz w:val="24"/>
          <w:lang w:val="en-US" w:eastAsia="zh-CN"/>
        </w:rPr>
        <w:t>1</w:t>
      </w:r>
      <w:r>
        <w:rPr>
          <w:rFonts w:ascii="仿宋" w:hAnsi="仿宋"/>
          <w:b/>
          <w:bCs/>
          <w:sz w:val="24"/>
          <w:lang w:val="en-US" w:eastAsia="zh-CN"/>
        </w:rPr>
        <w:fldChar w:fldCharType="end"/>
      </w:r>
      <w:r>
        <w:rPr>
          <w:rFonts w:ascii="仿宋" w:hAnsi="仿宋"/>
          <w:b/>
          <w:bCs/>
          <w:sz w:val="24"/>
          <w:lang w:val="en-US" w:eastAsia="zh-CN"/>
        </w:rPr>
        <w:fldChar w:fldCharType="end"/>
      </w:r>
    </w:p>
    <w:p>
      <w:pPr>
        <w:pStyle w:val="23"/>
        <w:tabs>
          <w:tab w:val="right" w:leader="dot" w:pos="8300"/>
        </w:tabs>
        <w:spacing w:line="480" w:lineRule="auto"/>
        <w:rPr>
          <w:rFonts w:ascii="仿宋" w:hAnsi="仿宋"/>
          <w:b/>
          <w:bCs/>
          <w:sz w:val="24"/>
          <w:lang w:val="en-US" w:eastAsia="zh-CN"/>
        </w:rPr>
      </w:pPr>
      <w:r>
        <w:fldChar w:fldCharType="begin"/>
      </w:r>
      <w:r>
        <w:instrText xml:space="preserve"> HYPERLINK \l "_Toc27235" </w:instrText>
      </w:r>
      <w:r>
        <w:fldChar w:fldCharType="separate"/>
      </w:r>
      <w:r>
        <w:rPr>
          <w:rFonts w:hint="eastAsia" w:ascii="仿宋" w:hAnsi="仿宋" w:cs="仿宋_GB2312"/>
          <w:b/>
          <w:bCs/>
          <w:sz w:val="24"/>
          <w:lang w:val="en-US" w:eastAsia="zh-CN"/>
        </w:rPr>
        <w:t>第一章 投标人须知</w:t>
      </w:r>
      <w:r>
        <w:rPr>
          <w:rFonts w:ascii="仿宋" w:hAnsi="仿宋"/>
          <w:b/>
          <w:bCs/>
          <w:sz w:val="24"/>
          <w:lang w:val="en-US" w:eastAsia="zh-CN"/>
        </w:rPr>
        <w:tab/>
      </w:r>
      <w:r>
        <w:rPr>
          <w:rFonts w:ascii="仿宋" w:hAnsi="仿宋"/>
          <w:b/>
          <w:bCs/>
          <w:sz w:val="24"/>
          <w:lang w:val="en-US" w:eastAsia="zh-CN"/>
        </w:rPr>
        <w:fldChar w:fldCharType="begin"/>
      </w:r>
      <w:r>
        <w:rPr>
          <w:rFonts w:ascii="仿宋" w:hAnsi="仿宋"/>
          <w:b/>
          <w:bCs/>
          <w:sz w:val="24"/>
          <w:lang w:val="en-US" w:eastAsia="zh-CN"/>
        </w:rPr>
        <w:instrText xml:space="preserve"> PAGEREF _Toc27235 </w:instrText>
      </w:r>
      <w:r>
        <w:rPr>
          <w:rFonts w:ascii="仿宋" w:hAnsi="仿宋"/>
          <w:b/>
          <w:bCs/>
          <w:sz w:val="24"/>
          <w:lang w:val="en-US" w:eastAsia="zh-CN"/>
        </w:rPr>
        <w:fldChar w:fldCharType="separate"/>
      </w:r>
      <w:r>
        <w:rPr>
          <w:rFonts w:ascii="仿宋" w:hAnsi="仿宋"/>
          <w:b/>
          <w:bCs/>
          <w:sz w:val="24"/>
          <w:lang w:val="en-US" w:eastAsia="zh-CN"/>
        </w:rPr>
        <w:t>5</w:t>
      </w:r>
      <w:r>
        <w:rPr>
          <w:rFonts w:ascii="仿宋" w:hAnsi="仿宋"/>
          <w:b/>
          <w:bCs/>
          <w:sz w:val="24"/>
          <w:lang w:val="en-US" w:eastAsia="zh-CN"/>
        </w:rPr>
        <w:fldChar w:fldCharType="end"/>
      </w:r>
      <w:r>
        <w:rPr>
          <w:rFonts w:ascii="仿宋" w:hAnsi="仿宋"/>
          <w:b/>
          <w:bCs/>
          <w:sz w:val="24"/>
          <w:lang w:val="en-US" w:eastAsia="zh-CN"/>
        </w:rPr>
        <w:fldChar w:fldCharType="end"/>
      </w:r>
    </w:p>
    <w:p>
      <w:pPr>
        <w:pStyle w:val="23"/>
        <w:tabs>
          <w:tab w:val="right" w:leader="dot" w:pos="8300"/>
        </w:tabs>
        <w:spacing w:line="480" w:lineRule="auto"/>
        <w:rPr>
          <w:rFonts w:ascii="仿宋" w:hAnsi="仿宋"/>
          <w:b/>
          <w:bCs/>
          <w:sz w:val="24"/>
          <w:lang w:val="en-US" w:eastAsia="zh-CN"/>
        </w:rPr>
      </w:pPr>
      <w:r>
        <w:fldChar w:fldCharType="begin"/>
      </w:r>
      <w:r>
        <w:instrText xml:space="preserve"> HYPERLINK \l "_Toc13351" </w:instrText>
      </w:r>
      <w:r>
        <w:fldChar w:fldCharType="separate"/>
      </w:r>
      <w:r>
        <w:rPr>
          <w:rFonts w:hint="eastAsia" w:ascii="仿宋" w:hAnsi="仿宋" w:cs="仿宋_GB2312"/>
          <w:b/>
          <w:bCs/>
          <w:sz w:val="24"/>
          <w:lang w:val="en-US" w:eastAsia="zh-CN"/>
        </w:rPr>
        <w:t>第二章 投标文件内容及格式</w:t>
      </w:r>
      <w:r>
        <w:rPr>
          <w:rFonts w:ascii="仿宋" w:hAnsi="仿宋"/>
          <w:b/>
          <w:bCs/>
          <w:sz w:val="24"/>
          <w:lang w:val="en-US" w:eastAsia="zh-CN"/>
        </w:rPr>
        <w:tab/>
      </w:r>
      <w:r>
        <w:rPr>
          <w:rFonts w:ascii="仿宋" w:hAnsi="仿宋"/>
          <w:b/>
          <w:bCs/>
          <w:sz w:val="24"/>
          <w:lang w:val="en-US" w:eastAsia="zh-CN"/>
        </w:rPr>
        <w:fldChar w:fldCharType="begin"/>
      </w:r>
      <w:r>
        <w:rPr>
          <w:rFonts w:ascii="仿宋" w:hAnsi="仿宋"/>
          <w:b/>
          <w:bCs/>
          <w:sz w:val="24"/>
          <w:lang w:val="en-US" w:eastAsia="zh-CN"/>
        </w:rPr>
        <w:instrText xml:space="preserve"> PAGEREF _Toc13351 </w:instrText>
      </w:r>
      <w:r>
        <w:rPr>
          <w:rFonts w:ascii="仿宋" w:hAnsi="仿宋"/>
          <w:b/>
          <w:bCs/>
          <w:sz w:val="24"/>
          <w:lang w:val="en-US" w:eastAsia="zh-CN"/>
        </w:rPr>
        <w:fldChar w:fldCharType="separate"/>
      </w:r>
      <w:r>
        <w:rPr>
          <w:rFonts w:ascii="仿宋" w:hAnsi="仿宋"/>
          <w:b/>
          <w:bCs/>
          <w:sz w:val="24"/>
          <w:lang w:val="en-US" w:eastAsia="zh-CN"/>
        </w:rPr>
        <w:t>20</w:t>
      </w:r>
      <w:r>
        <w:rPr>
          <w:rFonts w:ascii="仿宋" w:hAnsi="仿宋"/>
          <w:b/>
          <w:bCs/>
          <w:sz w:val="24"/>
          <w:lang w:val="en-US" w:eastAsia="zh-CN"/>
        </w:rPr>
        <w:fldChar w:fldCharType="end"/>
      </w:r>
      <w:r>
        <w:rPr>
          <w:rFonts w:ascii="仿宋" w:hAnsi="仿宋"/>
          <w:b/>
          <w:bCs/>
          <w:sz w:val="24"/>
          <w:lang w:val="en-US" w:eastAsia="zh-CN"/>
        </w:rPr>
        <w:fldChar w:fldCharType="end"/>
      </w:r>
    </w:p>
    <w:p>
      <w:pPr>
        <w:pStyle w:val="23"/>
        <w:tabs>
          <w:tab w:val="right" w:leader="dot" w:pos="8300"/>
        </w:tabs>
        <w:spacing w:line="480" w:lineRule="auto"/>
        <w:rPr>
          <w:rFonts w:ascii="仿宋" w:hAnsi="仿宋"/>
          <w:b/>
          <w:bCs/>
          <w:sz w:val="24"/>
          <w:lang w:val="en-US" w:eastAsia="zh-CN"/>
        </w:rPr>
      </w:pPr>
      <w:r>
        <w:fldChar w:fldCharType="begin"/>
      </w:r>
      <w:r>
        <w:instrText xml:space="preserve"> HYPERLINK \l "_Toc11327" </w:instrText>
      </w:r>
      <w:r>
        <w:fldChar w:fldCharType="separate"/>
      </w:r>
      <w:r>
        <w:rPr>
          <w:rFonts w:hint="eastAsia" w:ascii="仿宋" w:hAnsi="仿宋" w:cs="仿宋_GB2312"/>
          <w:b/>
          <w:bCs/>
          <w:sz w:val="24"/>
          <w:lang w:val="en-US" w:eastAsia="zh-CN"/>
        </w:rPr>
        <w:t>第三章 服务需求</w:t>
      </w:r>
      <w:r>
        <w:rPr>
          <w:rFonts w:ascii="仿宋" w:hAnsi="仿宋"/>
          <w:b/>
          <w:bCs/>
          <w:sz w:val="24"/>
          <w:lang w:val="en-US" w:eastAsia="zh-CN"/>
        </w:rPr>
        <w:tab/>
      </w:r>
      <w:r>
        <w:rPr>
          <w:rFonts w:ascii="仿宋" w:hAnsi="仿宋"/>
          <w:b/>
          <w:bCs/>
          <w:sz w:val="24"/>
          <w:lang w:val="en-US" w:eastAsia="zh-CN"/>
        </w:rPr>
        <w:fldChar w:fldCharType="begin"/>
      </w:r>
      <w:r>
        <w:rPr>
          <w:rFonts w:ascii="仿宋" w:hAnsi="仿宋"/>
          <w:b/>
          <w:bCs/>
          <w:sz w:val="24"/>
          <w:lang w:val="en-US" w:eastAsia="zh-CN"/>
        </w:rPr>
        <w:instrText xml:space="preserve"> PAGEREF _Toc11327 </w:instrText>
      </w:r>
      <w:r>
        <w:rPr>
          <w:rFonts w:ascii="仿宋" w:hAnsi="仿宋"/>
          <w:b/>
          <w:bCs/>
          <w:sz w:val="24"/>
          <w:lang w:val="en-US" w:eastAsia="zh-CN"/>
        </w:rPr>
        <w:fldChar w:fldCharType="separate"/>
      </w:r>
      <w:r>
        <w:rPr>
          <w:rFonts w:ascii="仿宋" w:hAnsi="仿宋"/>
          <w:b/>
          <w:bCs/>
          <w:sz w:val="24"/>
          <w:lang w:val="en-US" w:eastAsia="zh-CN"/>
        </w:rPr>
        <w:t>40</w:t>
      </w:r>
      <w:r>
        <w:rPr>
          <w:rFonts w:ascii="仿宋" w:hAnsi="仿宋"/>
          <w:b/>
          <w:bCs/>
          <w:sz w:val="24"/>
          <w:lang w:val="en-US" w:eastAsia="zh-CN"/>
        </w:rPr>
        <w:fldChar w:fldCharType="end"/>
      </w:r>
      <w:r>
        <w:rPr>
          <w:rFonts w:ascii="仿宋" w:hAnsi="仿宋"/>
          <w:b/>
          <w:bCs/>
          <w:sz w:val="24"/>
          <w:lang w:val="en-US" w:eastAsia="zh-CN"/>
        </w:rPr>
        <w:fldChar w:fldCharType="end"/>
      </w:r>
    </w:p>
    <w:p>
      <w:pPr>
        <w:pStyle w:val="23"/>
        <w:tabs>
          <w:tab w:val="right" w:leader="dot" w:pos="8300"/>
        </w:tabs>
        <w:spacing w:line="480" w:lineRule="auto"/>
        <w:rPr>
          <w:rFonts w:ascii="仿宋" w:hAnsi="仿宋"/>
          <w:b/>
          <w:bCs/>
          <w:sz w:val="24"/>
          <w:lang w:val="en-US" w:eastAsia="zh-CN"/>
        </w:rPr>
      </w:pPr>
      <w:r>
        <w:fldChar w:fldCharType="begin"/>
      </w:r>
      <w:r>
        <w:instrText xml:space="preserve"> HYPERLINK \l "_Toc8062" </w:instrText>
      </w:r>
      <w:r>
        <w:fldChar w:fldCharType="separate"/>
      </w:r>
      <w:r>
        <w:rPr>
          <w:rFonts w:hint="eastAsia" w:ascii="仿宋" w:hAnsi="仿宋" w:cs="仿宋_GB2312"/>
          <w:b/>
          <w:bCs/>
          <w:sz w:val="24"/>
          <w:lang w:val="en-US" w:eastAsia="zh-CN"/>
        </w:rPr>
        <w:t>第四章 评标方法</w:t>
      </w:r>
      <w:r>
        <w:rPr>
          <w:rFonts w:ascii="仿宋" w:hAnsi="仿宋"/>
          <w:b/>
          <w:bCs/>
          <w:sz w:val="24"/>
          <w:lang w:val="en-US" w:eastAsia="zh-CN"/>
        </w:rPr>
        <w:tab/>
      </w:r>
      <w:r>
        <w:rPr>
          <w:rFonts w:ascii="仿宋" w:hAnsi="仿宋"/>
          <w:b/>
          <w:bCs/>
          <w:sz w:val="24"/>
          <w:lang w:val="en-US" w:eastAsia="zh-CN"/>
        </w:rPr>
        <w:fldChar w:fldCharType="begin"/>
      </w:r>
      <w:r>
        <w:rPr>
          <w:rFonts w:ascii="仿宋" w:hAnsi="仿宋"/>
          <w:b/>
          <w:bCs/>
          <w:sz w:val="24"/>
          <w:lang w:val="en-US" w:eastAsia="zh-CN"/>
        </w:rPr>
        <w:instrText xml:space="preserve"> PAGEREF _Toc8062 </w:instrText>
      </w:r>
      <w:r>
        <w:rPr>
          <w:rFonts w:ascii="仿宋" w:hAnsi="仿宋"/>
          <w:b/>
          <w:bCs/>
          <w:sz w:val="24"/>
          <w:lang w:val="en-US" w:eastAsia="zh-CN"/>
        </w:rPr>
        <w:fldChar w:fldCharType="separate"/>
      </w:r>
      <w:r>
        <w:rPr>
          <w:rFonts w:ascii="仿宋" w:hAnsi="仿宋"/>
          <w:b/>
          <w:bCs/>
          <w:sz w:val="24"/>
          <w:lang w:val="en-US" w:eastAsia="zh-CN"/>
        </w:rPr>
        <w:t>47</w:t>
      </w:r>
      <w:r>
        <w:rPr>
          <w:rFonts w:ascii="仿宋" w:hAnsi="仿宋"/>
          <w:b/>
          <w:bCs/>
          <w:sz w:val="24"/>
          <w:lang w:val="en-US" w:eastAsia="zh-CN"/>
        </w:rPr>
        <w:fldChar w:fldCharType="end"/>
      </w:r>
      <w:r>
        <w:rPr>
          <w:rFonts w:ascii="仿宋" w:hAnsi="仿宋"/>
          <w:b/>
          <w:bCs/>
          <w:sz w:val="24"/>
          <w:lang w:val="en-US" w:eastAsia="zh-CN"/>
        </w:rPr>
        <w:fldChar w:fldCharType="end"/>
      </w:r>
    </w:p>
    <w:p>
      <w:pPr>
        <w:pStyle w:val="23"/>
        <w:tabs>
          <w:tab w:val="right" w:leader="dot" w:pos="8300"/>
        </w:tabs>
        <w:spacing w:line="480" w:lineRule="auto"/>
        <w:rPr>
          <w:rFonts w:ascii="仿宋" w:hAnsi="仿宋"/>
          <w:b/>
          <w:bCs/>
          <w:sz w:val="24"/>
          <w:lang w:val="en-US" w:eastAsia="zh-CN"/>
        </w:rPr>
      </w:pPr>
      <w:r>
        <w:fldChar w:fldCharType="begin"/>
      </w:r>
      <w:r>
        <w:instrText xml:space="preserve"> HYPERLINK \l "_Toc24606" </w:instrText>
      </w:r>
      <w:r>
        <w:fldChar w:fldCharType="separate"/>
      </w:r>
      <w:r>
        <w:rPr>
          <w:rFonts w:hint="eastAsia" w:ascii="仿宋" w:hAnsi="仿宋" w:cs="仿宋_GB2312"/>
          <w:b/>
          <w:bCs/>
          <w:sz w:val="24"/>
          <w:lang w:val="en-US" w:eastAsia="zh-CN"/>
        </w:rPr>
        <w:t>第五章 政府采购合同条款及格式</w:t>
      </w:r>
      <w:r>
        <w:rPr>
          <w:rFonts w:ascii="仿宋" w:hAnsi="仿宋"/>
          <w:b/>
          <w:bCs/>
          <w:sz w:val="24"/>
          <w:lang w:val="en-US" w:eastAsia="zh-CN"/>
        </w:rPr>
        <w:tab/>
      </w:r>
      <w:r>
        <w:rPr>
          <w:rFonts w:ascii="仿宋" w:hAnsi="仿宋"/>
          <w:b/>
          <w:bCs/>
          <w:sz w:val="24"/>
          <w:lang w:val="en-US" w:eastAsia="zh-CN"/>
        </w:rPr>
        <w:fldChar w:fldCharType="begin"/>
      </w:r>
      <w:r>
        <w:rPr>
          <w:rFonts w:ascii="仿宋" w:hAnsi="仿宋"/>
          <w:b/>
          <w:bCs/>
          <w:sz w:val="24"/>
          <w:lang w:val="en-US" w:eastAsia="zh-CN"/>
        </w:rPr>
        <w:instrText xml:space="preserve"> PAGEREF _Toc24606 </w:instrText>
      </w:r>
      <w:r>
        <w:rPr>
          <w:rFonts w:ascii="仿宋" w:hAnsi="仿宋"/>
          <w:b/>
          <w:bCs/>
          <w:sz w:val="24"/>
          <w:lang w:val="en-US" w:eastAsia="zh-CN"/>
        </w:rPr>
        <w:fldChar w:fldCharType="separate"/>
      </w:r>
      <w:r>
        <w:rPr>
          <w:rFonts w:ascii="仿宋" w:hAnsi="仿宋"/>
          <w:b/>
          <w:bCs/>
          <w:sz w:val="24"/>
          <w:lang w:val="en-US" w:eastAsia="zh-CN"/>
        </w:rPr>
        <w:t>54</w:t>
      </w:r>
      <w:r>
        <w:rPr>
          <w:rFonts w:ascii="仿宋" w:hAnsi="仿宋"/>
          <w:b/>
          <w:bCs/>
          <w:sz w:val="24"/>
          <w:lang w:val="en-US" w:eastAsia="zh-CN"/>
        </w:rPr>
        <w:fldChar w:fldCharType="end"/>
      </w:r>
      <w:r>
        <w:rPr>
          <w:rFonts w:ascii="仿宋" w:hAnsi="仿宋"/>
          <w:b/>
          <w:bCs/>
          <w:sz w:val="24"/>
          <w:lang w:val="en-US" w:eastAsia="zh-CN"/>
        </w:rPr>
        <w:fldChar w:fldCharType="end"/>
      </w:r>
    </w:p>
    <w:p>
      <w:pPr>
        <w:spacing w:line="480" w:lineRule="auto"/>
      </w:pPr>
      <w:r>
        <w:rPr>
          <w:rFonts w:ascii="仿宋" w:hAnsi="仿宋"/>
          <w:b/>
          <w:bCs/>
          <w:sz w:val="24"/>
        </w:rPr>
        <w:fldChar w:fldCharType="end"/>
      </w:r>
    </w:p>
    <w:p>
      <w:pPr>
        <w:pStyle w:val="2"/>
        <w:rPr>
          <w:rFonts w:hint="eastAsia" w:ascii="仿宋_GB2312" w:hAnsi="仿宋_GB2312" w:eastAsia="仿宋_GB2312" w:cs="仿宋_GB2312"/>
        </w:rPr>
        <w:sectPr>
          <w:footerReference r:id="rId3" w:type="default"/>
          <w:pgSz w:w="11906" w:h="16838"/>
          <w:pgMar w:top="1440" w:right="1803" w:bottom="1440" w:left="1803" w:header="851" w:footer="992" w:gutter="0"/>
          <w:pgNumType w:start="1"/>
          <w:cols w:space="720" w:num="1"/>
          <w:docGrid w:type="linesAndChars" w:linePitch="312" w:charSpace="0"/>
        </w:sectPr>
      </w:pPr>
      <w:bookmarkStart w:id="1" w:name="_Toc9521"/>
      <w:bookmarkStart w:id="2" w:name="_Toc2983"/>
      <w:bookmarkStart w:id="3" w:name="_Toc1124_WPSOffice_Level1"/>
    </w:p>
    <w:p>
      <w:pPr>
        <w:spacing w:line="480" w:lineRule="auto"/>
        <w:jc w:val="center"/>
        <w:rPr>
          <w:rFonts w:ascii="仿宋" w:hAnsi="仿宋" w:cs="仿宋"/>
          <w:b/>
          <w:bCs/>
          <w:color w:val="0000FF"/>
          <w:sz w:val="44"/>
          <w:szCs w:val="44"/>
        </w:rPr>
      </w:pPr>
      <w:r>
        <w:rPr>
          <w:rFonts w:hint="eastAsia" w:ascii="仿宋" w:hAnsi="仿宋" w:cs="仿宋"/>
          <w:b/>
          <w:bCs/>
          <w:color w:val="0000FF"/>
          <w:sz w:val="44"/>
          <w:szCs w:val="44"/>
        </w:rPr>
        <w:t>供应商须知</w:t>
      </w:r>
    </w:p>
    <w:p>
      <w:pPr>
        <w:spacing w:before="312" w:beforeLines="100" w:after="312" w:afterLines="100" w:line="360" w:lineRule="auto"/>
        <w:jc w:val="center"/>
        <w:rPr>
          <w:rFonts w:ascii="仿宋" w:hAnsi="仿宋" w:cs="仿宋"/>
          <w:b/>
          <w:bCs/>
          <w:color w:val="0000FF"/>
          <w:sz w:val="44"/>
          <w:szCs w:val="44"/>
        </w:rPr>
      </w:pPr>
      <w:r>
        <w:rPr>
          <w:rFonts w:hint="eastAsia" w:ascii="仿宋" w:hAnsi="仿宋" w:cs="仿宋"/>
          <w:b/>
          <w:bCs/>
          <w:color w:val="0000FF"/>
          <w:sz w:val="44"/>
          <w:szCs w:val="44"/>
        </w:rPr>
        <w:t>（请务必仔细阅读）</w:t>
      </w:r>
    </w:p>
    <w:p>
      <w:pPr>
        <w:spacing w:line="360" w:lineRule="auto"/>
        <w:ind w:firstLine="400" w:firstLineChars="200"/>
        <w:rPr>
          <w:rFonts w:ascii="仿宋" w:hAnsi="仿宋" w:cs="仿宋"/>
          <w:b/>
          <w:bCs/>
          <w:color w:val="0000FF"/>
          <w:sz w:val="20"/>
          <w:szCs w:val="20"/>
        </w:rPr>
      </w:pPr>
      <w:r>
        <w:rPr>
          <w:rFonts w:hint="eastAsia" w:ascii="仿宋" w:hAnsi="仿宋" w:cs="仿宋"/>
          <w:b/>
          <w:bCs/>
          <w:color w:val="0000FF"/>
          <w:sz w:val="20"/>
          <w:szCs w:val="20"/>
        </w:rPr>
        <w:t>1.参加辽宁省政府采购活动的供应商，请详阅辽宁政府采购网“首页-办事指南”中公布的“辽宁政府采购网关于办理CA数字证书的操作手册”和“辽宁政府采购网新版系统供应商操作手册”，具体规定详见《关于启用政府采购数字认证和电子招投标业务有关事宜的通知》（辽财采〔2020〕298号），请按照相关规定，及时办理CA锁及相关手续，因未办理相关手续造成的所有后果，由投标人自行承担。</w:t>
      </w:r>
    </w:p>
    <w:p>
      <w:pPr>
        <w:spacing w:line="360" w:lineRule="auto"/>
        <w:ind w:firstLine="400" w:firstLineChars="200"/>
        <w:rPr>
          <w:rFonts w:ascii="仿宋" w:hAnsi="仿宋" w:cs="仿宋"/>
          <w:b/>
          <w:bCs/>
          <w:color w:val="0000FF"/>
          <w:sz w:val="20"/>
          <w:szCs w:val="20"/>
        </w:rPr>
      </w:pPr>
      <w:r>
        <w:rPr>
          <w:rFonts w:hint="eastAsia" w:ascii="仿宋" w:hAnsi="仿宋" w:cs="仿宋"/>
          <w:b/>
          <w:bCs/>
          <w:color w:val="0000FF"/>
          <w:sz w:val="20"/>
          <w:szCs w:val="20"/>
        </w:rPr>
        <w:t>2.供应商须自主学习电子投标（响应）文件制作教程，具体教程详阅辽宁政府采购网“首页-办事指南”中公布的 “辽宁政府采购网新版系统供应商操作手册”和“辽宁省政府采购网制作电子标书操作手册”，并根据制作规范进行制作，如未按照要求制作，将会影响文件上传，造成的所有后果，由供应商自行承担。</w:t>
      </w:r>
    </w:p>
    <w:p>
      <w:pPr>
        <w:spacing w:line="360" w:lineRule="auto"/>
        <w:ind w:firstLine="400" w:firstLineChars="200"/>
        <w:rPr>
          <w:rFonts w:ascii="仿宋" w:hAnsi="仿宋" w:cs="仿宋"/>
          <w:b/>
          <w:bCs/>
          <w:color w:val="0000FF"/>
          <w:sz w:val="20"/>
          <w:szCs w:val="20"/>
        </w:rPr>
      </w:pPr>
      <w:r>
        <w:rPr>
          <w:rFonts w:hint="eastAsia" w:ascii="仿宋" w:hAnsi="仿宋" w:cs="仿宋"/>
          <w:b/>
          <w:bCs/>
          <w:color w:val="0000FF"/>
          <w:sz w:val="20"/>
          <w:szCs w:val="20"/>
        </w:rPr>
        <w:t>3</w:t>
      </w:r>
      <w:r>
        <w:rPr>
          <w:rFonts w:ascii="仿宋" w:hAnsi="仿宋" w:cs="仿宋"/>
          <w:b/>
          <w:bCs/>
          <w:color w:val="0000FF"/>
          <w:sz w:val="20"/>
          <w:szCs w:val="20"/>
        </w:rPr>
        <w:t>.</w:t>
      </w:r>
      <w:r>
        <w:rPr>
          <w:rFonts w:hint="eastAsia" w:ascii="仿宋" w:hAnsi="仿宋" w:cs="仿宋"/>
          <w:b/>
          <w:bCs/>
          <w:color w:val="0000FF"/>
          <w:sz w:val="20"/>
          <w:szCs w:val="20"/>
        </w:rPr>
        <w:t>供应商除在电子评审系统上传</w:t>
      </w:r>
      <w:bookmarkStart w:id="4" w:name="_Hlk77062440"/>
      <w:r>
        <w:rPr>
          <w:rFonts w:hint="eastAsia" w:ascii="仿宋" w:hAnsi="仿宋" w:cs="仿宋"/>
          <w:b/>
          <w:bCs/>
          <w:color w:val="0000FF"/>
          <w:sz w:val="20"/>
          <w:szCs w:val="20"/>
        </w:rPr>
        <w:t>投标（响应）</w:t>
      </w:r>
      <w:bookmarkEnd w:id="4"/>
      <w:r>
        <w:rPr>
          <w:rFonts w:hint="eastAsia" w:ascii="仿宋" w:hAnsi="仿宋" w:cs="仿宋"/>
          <w:b/>
          <w:bCs/>
          <w:color w:val="0000FF"/>
          <w:sz w:val="20"/>
          <w:szCs w:val="20"/>
        </w:rPr>
        <w:t>文件外，应在递交投标（响应）文件截止时间前提交</w:t>
      </w:r>
      <w:bookmarkStart w:id="5" w:name="_Hlk77077059"/>
      <w:r>
        <w:rPr>
          <w:rFonts w:hint="eastAsia" w:ascii="仿宋" w:hAnsi="仿宋" w:cs="仿宋"/>
          <w:b/>
          <w:bCs/>
          <w:color w:val="0000FF"/>
          <w:sz w:val="20"/>
          <w:szCs w:val="20"/>
        </w:rPr>
        <w:t>以U盘形式存储或</w:t>
      </w:r>
      <w:bookmarkStart w:id="6" w:name="_Hlk144215281"/>
      <w:r>
        <w:rPr>
          <w:rFonts w:hint="eastAsia" w:ascii="仿宋" w:hAnsi="仿宋" w:cs="仿宋"/>
          <w:b/>
          <w:bCs/>
          <w:color w:val="0000FF"/>
          <w:sz w:val="20"/>
          <w:szCs w:val="20"/>
        </w:rPr>
        <w:t>电子邮件形式</w:t>
      </w:r>
      <w:bookmarkEnd w:id="6"/>
      <w:r>
        <w:rPr>
          <w:rFonts w:hint="eastAsia" w:ascii="仿宋" w:hAnsi="仿宋" w:cs="仿宋"/>
          <w:b/>
          <w:bCs/>
          <w:color w:val="0000FF"/>
          <w:sz w:val="20"/>
          <w:szCs w:val="20"/>
        </w:rPr>
        <w:t>的可加密备份文件</w:t>
      </w:r>
      <w:bookmarkEnd w:id="5"/>
      <w:r>
        <w:rPr>
          <w:rFonts w:hint="eastAsia" w:ascii="仿宋" w:hAnsi="仿宋" w:cs="仿宋"/>
          <w:b/>
          <w:bCs/>
          <w:color w:val="0000FF"/>
          <w:sz w:val="20"/>
          <w:szCs w:val="20"/>
        </w:rPr>
        <w:t>，并承诺</w:t>
      </w:r>
      <w:bookmarkStart w:id="7" w:name="_Hlk77061504"/>
      <w:r>
        <w:rPr>
          <w:rFonts w:hint="eastAsia" w:ascii="仿宋" w:hAnsi="仿宋" w:cs="仿宋"/>
          <w:b/>
          <w:bCs/>
          <w:color w:val="0000FF"/>
          <w:sz w:val="20"/>
          <w:szCs w:val="20"/>
        </w:rPr>
        <w:t>备份文件与电子评审系统中上传的投标（响应）文件</w:t>
      </w:r>
      <w:bookmarkEnd w:id="7"/>
      <w:r>
        <w:rPr>
          <w:rFonts w:hint="eastAsia" w:ascii="仿宋" w:hAnsi="仿宋" w:cs="仿宋"/>
          <w:b/>
          <w:bCs/>
          <w:color w:val="0000FF"/>
          <w:sz w:val="20"/>
          <w:szCs w:val="20"/>
        </w:rPr>
        <w:t>内容、格式一致，备系统突发故障使用（投标文件内须附</w:t>
      </w:r>
      <w:r>
        <w:rPr>
          <w:rFonts w:ascii="仿宋" w:hAnsi="仿宋" w:cs="仿宋"/>
          <w:b/>
          <w:bCs/>
          <w:color w:val="0000FF"/>
          <w:sz w:val="20"/>
          <w:szCs w:val="20"/>
        </w:rPr>
        <w:t>《</w:t>
      </w:r>
      <w:bookmarkStart w:id="8" w:name="_Hlk77081975"/>
      <w:r>
        <w:rPr>
          <w:rFonts w:hint="eastAsia" w:ascii="仿宋" w:hAnsi="仿宋" w:cs="仿宋"/>
          <w:b/>
          <w:bCs/>
          <w:color w:val="0000FF"/>
          <w:sz w:val="20"/>
          <w:szCs w:val="20"/>
        </w:rPr>
        <w:t>备份文件与电子评审系统中上传的投标（响应）文件一致性承诺函</w:t>
      </w:r>
      <w:bookmarkEnd w:id="8"/>
      <w:r>
        <w:rPr>
          <w:rFonts w:ascii="仿宋" w:hAnsi="仿宋" w:cs="仿宋"/>
          <w:b/>
          <w:bCs/>
          <w:color w:val="0000FF"/>
          <w:sz w:val="20"/>
          <w:szCs w:val="20"/>
        </w:rPr>
        <w:t>》</w:t>
      </w:r>
      <w:r>
        <w:rPr>
          <w:rFonts w:hint="eastAsia" w:ascii="仿宋" w:hAnsi="仿宋" w:cs="仿宋"/>
          <w:b/>
          <w:bCs/>
          <w:color w:val="0000FF"/>
          <w:sz w:val="20"/>
          <w:szCs w:val="20"/>
        </w:rPr>
        <w:t>，格式见招标文件）。供应商仅提交备份文件的，投标（响应）无效。</w:t>
      </w:r>
    </w:p>
    <w:p>
      <w:pPr>
        <w:spacing w:line="360" w:lineRule="auto"/>
        <w:ind w:firstLine="400" w:firstLineChars="200"/>
        <w:rPr>
          <w:rFonts w:ascii="仿宋" w:hAnsi="仿宋" w:cs="仿宋"/>
          <w:b/>
          <w:bCs/>
          <w:color w:val="0000FF"/>
          <w:sz w:val="20"/>
          <w:szCs w:val="20"/>
        </w:rPr>
      </w:pPr>
      <w:r>
        <w:rPr>
          <w:rFonts w:ascii="仿宋" w:hAnsi="仿宋" w:cs="仿宋"/>
          <w:b/>
          <w:bCs/>
          <w:color w:val="0000FF"/>
          <w:sz w:val="20"/>
          <w:szCs w:val="20"/>
        </w:rPr>
        <w:t>4</w:t>
      </w:r>
      <w:r>
        <w:rPr>
          <w:rFonts w:hint="eastAsia" w:ascii="仿宋" w:hAnsi="仿宋" w:cs="仿宋"/>
          <w:b/>
          <w:bCs/>
          <w:color w:val="0000FF"/>
          <w:sz w:val="20"/>
          <w:szCs w:val="20"/>
        </w:rPr>
        <w:t>.开标时，供应商授权委托人须持有效CA锁，并在招标文件规定的时间内进行报价解密，代理机构将严格按照规定的时间结束报价认定，超过规定时间仍未完成报价解密的视为未提交报价，因此造成的结果由供应商自身负责。本项目报价解密时间为</w:t>
      </w:r>
      <w:r>
        <w:rPr>
          <w:rFonts w:ascii="仿宋" w:hAnsi="仿宋" w:cs="仿宋"/>
          <w:b/>
          <w:bCs/>
          <w:color w:val="0000FF"/>
          <w:sz w:val="20"/>
          <w:szCs w:val="20"/>
        </w:rPr>
        <w:t>3</w:t>
      </w:r>
      <w:r>
        <w:rPr>
          <w:rFonts w:hint="eastAsia" w:ascii="仿宋" w:hAnsi="仿宋" w:cs="仿宋"/>
          <w:b/>
          <w:bCs/>
          <w:color w:val="0000FF"/>
          <w:sz w:val="20"/>
          <w:szCs w:val="20"/>
        </w:rPr>
        <w:t>0分钟。</w:t>
      </w:r>
    </w:p>
    <w:p>
      <w:pPr>
        <w:spacing w:line="360" w:lineRule="auto"/>
        <w:ind w:firstLine="400" w:firstLineChars="200"/>
        <w:rPr>
          <w:rFonts w:ascii="仿宋" w:hAnsi="仿宋" w:cs="仿宋"/>
          <w:b/>
          <w:bCs/>
          <w:color w:val="FF0000"/>
          <w:sz w:val="20"/>
          <w:szCs w:val="20"/>
        </w:rPr>
      </w:pPr>
      <w:r>
        <w:rPr>
          <w:rFonts w:hint="eastAsia" w:ascii="仿宋" w:hAnsi="仿宋" w:cs="仿宋"/>
          <w:b/>
          <w:bCs/>
          <w:color w:val="0000FF"/>
          <w:sz w:val="20"/>
          <w:szCs w:val="20"/>
        </w:rPr>
        <w:t>5</w:t>
      </w:r>
      <w:r>
        <w:rPr>
          <w:rFonts w:ascii="仿宋" w:hAnsi="仿宋" w:cs="仿宋"/>
          <w:b/>
          <w:bCs/>
          <w:color w:val="0000FF"/>
          <w:sz w:val="20"/>
          <w:szCs w:val="20"/>
        </w:rPr>
        <w:t>.</w:t>
      </w:r>
      <w:r>
        <w:rPr>
          <w:rFonts w:hint="eastAsia" w:ascii="仿宋" w:hAnsi="仿宋" w:cs="仿宋"/>
          <w:b/>
          <w:bCs/>
          <w:color w:val="0000FF"/>
          <w:sz w:val="20"/>
          <w:szCs w:val="20"/>
        </w:rPr>
        <w:t>供应商应提前准备好二次报价的内容，待代理机构发出开始二次报价的通知后，在规定的时间内进行二次报价，代理机构将严格按照规定的时间结束报价认定，超过规定时间仍未完成二次报价的视为未提交二次报价，因此造成的结果由供应商自身负责。本项目二次报价时间为</w:t>
      </w:r>
      <w:r>
        <w:rPr>
          <w:rFonts w:ascii="仿宋" w:hAnsi="仿宋" w:cs="仿宋"/>
          <w:b/>
          <w:bCs/>
          <w:color w:val="0000FF"/>
          <w:sz w:val="20"/>
          <w:szCs w:val="20"/>
        </w:rPr>
        <w:t>3</w:t>
      </w:r>
      <w:r>
        <w:rPr>
          <w:rFonts w:hint="eastAsia" w:ascii="仿宋" w:hAnsi="仿宋" w:cs="仿宋"/>
          <w:b/>
          <w:bCs/>
          <w:color w:val="0000FF"/>
          <w:sz w:val="20"/>
          <w:szCs w:val="20"/>
        </w:rPr>
        <w:t>0分钟。</w:t>
      </w:r>
      <w:r>
        <w:rPr>
          <w:rFonts w:hint="eastAsia" w:ascii="仿宋" w:hAnsi="仿宋" w:cs="仿宋"/>
          <w:b/>
          <w:bCs/>
          <w:color w:val="FF0000"/>
          <w:sz w:val="20"/>
          <w:szCs w:val="20"/>
        </w:rPr>
        <w:t>（本项目不适用）</w:t>
      </w:r>
    </w:p>
    <w:p>
      <w:pPr>
        <w:spacing w:line="360" w:lineRule="auto"/>
        <w:ind w:firstLine="400" w:firstLineChars="200"/>
        <w:rPr>
          <w:rFonts w:ascii="仿宋" w:hAnsi="仿宋" w:cs="仿宋"/>
          <w:b/>
          <w:bCs/>
          <w:color w:val="0000FF"/>
          <w:sz w:val="20"/>
          <w:szCs w:val="20"/>
        </w:rPr>
      </w:pPr>
      <w:r>
        <w:rPr>
          <w:rFonts w:ascii="仿宋" w:hAnsi="仿宋" w:cs="仿宋"/>
          <w:b/>
          <w:bCs/>
          <w:color w:val="0000FF"/>
          <w:sz w:val="20"/>
          <w:szCs w:val="20"/>
        </w:rPr>
        <w:t>6.</w:t>
      </w:r>
      <w:r>
        <w:rPr>
          <w:rFonts w:hint="eastAsia" w:ascii="仿宋" w:hAnsi="仿宋" w:cs="仿宋"/>
          <w:b/>
          <w:bCs/>
          <w:color w:val="0000FF"/>
          <w:sz w:val="20"/>
          <w:szCs w:val="20"/>
        </w:rPr>
        <w:t>投标（响应）文件中的报价与解密的报价不一致的，以解密的报价为准。</w:t>
      </w:r>
    </w:p>
    <w:p>
      <w:pPr>
        <w:spacing w:line="360" w:lineRule="auto"/>
        <w:ind w:firstLine="400" w:firstLineChars="200"/>
        <w:rPr>
          <w:rFonts w:ascii="仿宋" w:hAnsi="仿宋" w:cs="仿宋"/>
          <w:b/>
          <w:bCs/>
          <w:color w:val="0000FF"/>
          <w:sz w:val="20"/>
          <w:szCs w:val="20"/>
        </w:rPr>
      </w:pPr>
      <w:r>
        <w:rPr>
          <w:rFonts w:ascii="仿宋" w:hAnsi="仿宋" w:cs="仿宋"/>
          <w:b/>
          <w:bCs/>
          <w:color w:val="0000FF"/>
          <w:sz w:val="20"/>
          <w:szCs w:val="20"/>
        </w:rPr>
        <w:t>7.</w:t>
      </w:r>
      <w:r>
        <w:rPr>
          <w:rFonts w:hint="eastAsia" w:ascii="仿宋" w:hAnsi="仿宋" w:cs="仿宋"/>
          <w:b/>
          <w:bCs/>
          <w:color w:val="0000FF"/>
          <w:sz w:val="20"/>
          <w:szCs w:val="20"/>
        </w:rPr>
        <w:t>供应商在电子评审活动中出现以下情形的，应按如下规定进行处理：</w:t>
      </w:r>
    </w:p>
    <w:p>
      <w:pPr>
        <w:spacing w:line="360" w:lineRule="auto"/>
        <w:ind w:firstLine="400" w:firstLineChars="200"/>
        <w:rPr>
          <w:rFonts w:ascii="仿宋" w:hAnsi="仿宋" w:cs="仿宋"/>
          <w:b/>
          <w:bCs/>
          <w:color w:val="0000FF"/>
          <w:sz w:val="20"/>
          <w:szCs w:val="20"/>
        </w:rPr>
      </w:pPr>
      <w:r>
        <w:rPr>
          <w:rFonts w:hint="eastAsia" w:ascii="仿宋" w:hAnsi="仿宋" w:cs="仿宋"/>
          <w:b/>
          <w:bCs/>
          <w:color w:val="0000FF"/>
          <w:sz w:val="20"/>
          <w:szCs w:val="20"/>
        </w:rPr>
        <w:t>（1）因供应商原因造成投标文件未解密的；</w:t>
      </w:r>
    </w:p>
    <w:p>
      <w:pPr>
        <w:spacing w:line="360" w:lineRule="auto"/>
        <w:ind w:firstLine="400" w:firstLineChars="200"/>
        <w:rPr>
          <w:rFonts w:ascii="仿宋" w:hAnsi="仿宋" w:cs="仿宋"/>
          <w:b/>
          <w:bCs/>
          <w:color w:val="0000FF"/>
          <w:sz w:val="20"/>
          <w:szCs w:val="20"/>
        </w:rPr>
      </w:pPr>
      <w:r>
        <w:rPr>
          <w:rFonts w:hint="eastAsia" w:ascii="仿宋" w:hAnsi="仿宋" w:cs="仿宋"/>
          <w:b/>
          <w:bCs/>
          <w:color w:val="0000FF"/>
          <w:sz w:val="20"/>
          <w:szCs w:val="20"/>
        </w:rPr>
        <w:t>（2）因供应商自用设备原因造成的未在规定时间内解密、上传文件或投标（响应）报价等问题影响电子评审的；</w:t>
      </w:r>
    </w:p>
    <w:p>
      <w:pPr>
        <w:spacing w:line="360" w:lineRule="auto"/>
        <w:ind w:firstLine="400" w:firstLineChars="200"/>
        <w:rPr>
          <w:rFonts w:ascii="仿宋" w:hAnsi="仿宋" w:cs="仿宋"/>
          <w:b/>
          <w:bCs/>
          <w:color w:val="0000FF"/>
          <w:sz w:val="20"/>
          <w:szCs w:val="20"/>
        </w:rPr>
      </w:pPr>
      <w:r>
        <w:rPr>
          <w:rFonts w:hint="eastAsia" w:ascii="仿宋" w:hAnsi="仿宋" w:cs="仿宋"/>
          <w:b/>
          <w:bCs/>
          <w:color w:val="0000FF"/>
          <w:sz w:val="20"/>
          <w:szCs w:val="20"/>
        </w:rPr>
        <w:t>（3）因供应商原因未对文件校验造成信息缺失、文件内容或格式不正确以及备份文件不符合要求等问题影响评审的。</w:t>
      </w:r>
    </w:p>
    <w:p>
      <w:pPr>
        <w:spacing w:line="360" w:lineRule="auto"/>
        <w:ind w:firstLine="400" w:firstLineChars="200"/>
        <w:rPr>
          <w:rFonts w:ascii="仿宋" w:hAnsi="仿宋" w:cs="仿宋"/>
          <w:b/>
          <w:bCs/>
          <w:color w:val="0000FF"/>
          <w:sz w:val="20"/>
          <w:szCs w:val="20"/>
        </w:rPr>
      </w:pPr>
      <w:r>
        <w:rPr>
          <w:rFonts w:hint="eastAsia" w:ascii="仿宋" w:hAnsi="仿宋" w:cs="仿宋"/>
          <w:b/>
          <w:bCs/>
          <w:color w:val="0000FF"/>
          <w:sz w:val="20"/>
          <w:szCs w:val="20"/>
        </w:rPr>
        <w:t>出现前款（1）（2）情形的，视为放弃投标（响应）；出现前款（3）情形的，由供应商自行承担相应责任。</w:t>
      </w:r>
    </w:p>
    <w:p>
      <w:pPr>
        <w:spacing w:line="360" w:lineRule="auto"/>
        <w:ind w:firstLine="400" w:firstLineChars="200"/>
        <w:rPr>
          <w:rFonts w:ascii="仿宋" w:hAnsi="仿宋" w:cs="仿宋"/>
          <w:b/>
          <w:bCs/>
          <w:color w:val="0000FF"/>
          <w:sz w:val="20"/>
          <w:szCs w:val="20"/>
        </w:rPr>
      </w:pPr>
      <w:r>
        <w:rPr>
          <w:rFonts w:hint="eastAsia" w:ascii="仿宋" w:hAnsi="仿宋" w:cs="仿宋"/>
          <w:b/>
          <w:bCs/>
          <w:color w:val="0000FF"/>
          <w:sz w:val="20"/>
          <w:szCs w:val="20"/>
        </w:rPr>
        <w:t>8</w:t>
      </w:r>
      <w:r>
        <w:rPr>
          <w:rFonts w:ascii="仿宋" w:hAnsi="仿宋" w:cs="仿宋"/>
          <w:b/>
          <w:bCs/>
          <w:color w:val="0000FF"/>
          <w:sz w:val="20"/>
          <w:szCs w:val="20"/>
        </w:rPr>
        <w:t>.</w:t>
      </w:r>
      <w:r>
        <w:rPr>
          <w:rFonts w:hint="eastAsia" w:ascii="仿宋" w:hAnsi="仿宋" w:cs="仿宋"/>
          <w:b/>
          <w:bCs/>
          <w:color w:val="0000FF"/>
          <w:sz w:val="20"/>
          <w:szCs w:val="20"/>
        </w:rPr>
        <w:t>供应商须认真研读</w:t>
      </w:r>
      <w:bookmarkStart w:id="9" w:name="_Hlk77082509"/>
      <w:r>
        <w:rPr>
          <w:rFonts w:hint="eastAsia" w:ascii="仿宋" w:hAnsi="仿宋" w:cs="仿宋"/>
          <w:b/>
          <w:bCs/>
          <w:color w:val="0000FF"/>
          <w:sz w:val="20"/>
          <w:szCs w:val="20"/>
        </w:rPr>
        <w:t>《关于完善政府采购电子评审业务流程等有关事宜的通知》辽财采函〔2021〕363 号文件</w:t>
      </w:r>
      <w:bookmarkEnd w:id="9"/>
      <w:r>
        <w:rPr>
          <w:rFonts w:hint="eastAsia" w:ascii="仿宋" w:hAnsi="仿宋" w:cs="仿宋"/>
          <w:b/>
          <w:bCs/>
          <w:color w:val="0000FF"/>
          <w:sz w:val="20"/>
          <w:szCs w:val="20"/>
        </w:rPr>
        <w:t>。</w:t>
      </w:r>
    </w:p>
    <w:p>
      <w:pPr>
        <w:spacing w:line="360" w:lineRule="auto"/>
        <w:ind w:firstLine="400" w:firstLineChars="200"/>
        <w:rPr>
          <w:rFonts w:ascii="仿宋" w:hAnsi="仿宋" w:cs="仿宋"/>
          <w:b/>
          <w:bCs/>
          <w:color w:val="FF0000"/>
          <w:sz w:val="20"/>
          <w:szCs w:val="20"/>
        </w:rPr>
      </w:pPr>
    </w:p>
    <w:p>
      <w:pPr>
        <w:spacing w:line="360" w:lineRule="auto"/>
        <w:ind w:firstLine="400" w:firstLineChars="200"/>
        <w:rPr>
          <w:rFonts w:ascii="仿宋" w:hAnsi="仿宋" w:cs="仿宋"/>
          <w:b/>
          <w:bCs/>
          <w:color w:val="0000FF"/>
          <w:sz w:val="20"/>
          <w:szCs w:val="20"/>
        </w:rPr>
        <w:sectPr>
          <w:footerReference r:id="rId4" w:type="default"/>
          <w:pgSz w:w="11906" w:h="16838"/>
          <w:pgMar w:top="1440" w:right="1803" w:bottom="1440" w:left="1803" w:header="851" w:footer="992" w:gutter="0"/>
          <w:pgNumType w:start="1"/>
          <w:cols w:space="720" w:num="1"/>
          <w:docGrid w:type="linesAndChars" w:linePitch="312" w:charSpace="0"/>
        </w:sectPr>
      </w:pPr>
    </w:p>
    <w:p>
      <w:pPr>
        <w:pStyle w:val="2"/>
        <w:rPr>
          <w:rFonts w:ascii="仿宋_GB2312" w:hAnsi="仿宋_GB2312" w:eastAsia="仿宋_GB2312" w:cs="仿宋_GB2312"/>
        </w:rPr>
      </w:pPr>
      <w:r>
        <w:rPr>
          <w:rFonts w:hint="eastAsia" w:ascii="仿宋_GB2312" w:hAnsi="仿宋_GB2312" w:eastAsia="仿宋_GB2312" w:cs="仿宋_GB2312"/>
        </w:rPr>
        <w:t>（</w:t>
      </w:r>
      <w:bookmarkStart w:id="10" w:name="_Hlk144213609"/>
      <w:r>
        <w:rPr>
          <w:rFonts w:hint="eastAsia" w:ascii="仿宋_GB2312" w:hAnsi="仿宋_GB2312" w:eastAsia="仿宋_GB2312" w:cs="仿宋_GB2312"/>
        </w:rPr>
        <w:t>铁岭县集体土地所有权确权登记更新成果、集体建设用地使用权成果入库汇交和林业林权登记成果更新数据入库汇交</w:t>
      </w:r>
      <w:bookmarkEnd w:id="10"/>
      <w:r>
        <w:rPr>
          <w:rFonts w:hint="eastAsia" w:ascii="仿宋_GB2312" w:hAnsi="仿宋_GB2312" w:eastAsia="仿宋_GB2312" w:cs="仿宋_GB2312"/>
        </w:rPr>
        <w:t>）招标公告</w:t>
      </w:r>
      <w:bookmarkEnd w:id="1"/>
      <w:bookmarkEnd w:id="2"/>
      <w:bookmarkEnd w:id="3"/>
    </w:p>
    <w:p>
      <w:pPr>
        <w:pBdr>
          <w:top w:val="single" w:color="auto" w:sz="4" w:space="1"/>
          <w:left w:val="single" w:color="auto" w:sz="4" w:space="4"/>
          <w:bottom w:val="single" w:color="auto" w:sz="4" w:space="1"/>
          <w:right w:val="single" w:color="auto" w:sz="4" w:space="4"/>
        </w:pBd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项目概况</w:t>
      </w:r>
    </w:p>
    <w:p>
      <w:pPr>
        <w:pBdr>
          <w:top w:val="single" w:color="auto" w:sz="4" w:space="1"/>
          <w:left w:val="single" w:color="auto" w:sz="4" w:space="4"/>
          <w:bottom w:val="single" w:color="auto" w:sz="4" w:space="1"/>
          <w:right w:val="single" w:color="auto" w:sz="4" w:space="4"/>
        </w:pBdr>
        <w:adjustRightInd w:val="0"/>
        <w:snapToGrid w:val="0"/>
        <w:spacing w:line="360" w:lineRule="auto"/>
        <w:ind w:firstLine="420" w:firstLineChars="200"/>
        <w:rPr>
          <w:rFonts w:hint="eastAsia" w:ascii="仿宋_GB2312" w:hAnsi="仿宋_GB2312" w:eastAsia="仿宋_GB2312" w:cs="仿宋_GB2312"/>
          <w:szCs w:val="21"/>
        </w:rPr>
      </w:pPr>
      <w:bookmarkStart w:id="11" w:name="_Hlk144368305"/>
      <w:r>
        <w:rPr>
          <w:rFonts w:hint="eastAsia" w:ascii="仿宋_GB2312" w:hAnsi="仿宋_GB2312" w:eastAsia="仿宋_GB2312" w:cs="仿宋_GB2312"/>
          <w:iCs/>
          <w:szCs w:val="21"/>
        </w:rPr>
        <w:t xml:space="preserve"> </w:t>
      </w:r>
      <w:bookmarkStart w:id="12" w:name="_Hlk144214004"/>
      <w:r>
        <w:rPr>
          <w:rFonts w:hint="eastAsia" w:ascii="仿宋_GB2312" w:hAnsi="仿宋_GB2312" w:eastAsia="仿宋_GB2312" w:cs="仿宋_GB2312"/>
          <w:iCs/>
          <w:szCs w:val="21"/>
          <w:u w:val="single"/>
        </w:rPr>
        <w:t>铁岭县集体土地所有权确权登记更新成果、集体建设用地使用权成果入库汇交和林业林权登记成果更新数据入库汇交</w:t>
      </w:r>
      <w:bookmarkEnd w:id="11"/>
      <w:bookmarkEnd w:id="12"/>
      <w:r>
        <w:rPr>
          <w:rFonts w:hint="eastAsia" w:ascii="仿宋_GB2312" w:hAnsi="仿宋_GB2312" w:eastAsia="仿宋_GB2312" w:cs="仿宋_GB2312"/>
          <w:szCs w:val="21"/>
        </w:rPr>
        <w:t>招标项目的潜在供应商应在</w:t>
      </w:r>
      <w:r>
        <w:rPr>
          <w:rFonts w:hint="eastAsia" w:ascii="仿宋_GB2312" w:hAnsi="仿宋_GB2312" w:eastAsia="仿宋_GB2312" w:cs="仿宋_GB2312"/>
          <w:szCs w:val="21"/>
          <w:lang w:val="en-US" w:eastAsia="zh-CN"/>
        </w:rPr>
        <w:t>线上</w:t>
      </w:r>
      <w:r>
        <w:rPr>
          <w:rFonts w:hint="eastAsia" w:ascii="仿宋_GB2312" w:hAnsi="仿宋_GB2312" w:eastAsia="仿宋_GB2312" w:cs="仿宋_GB2312"/>
          <w:szCs w:val="21"/>
        </w:rPr>
        <w:t>获取招标文件，并于</w:t>
      </w:r>
      <w:bookmarkStart w:id="13" w:name="_Hlk144214842"/>
      <w:r>
        <w:rPr>
          <w:rFonts w:ascii="仿宋_GB2312" w:hAnsi="仿宋_GB2312" w:eastAsia="仿宋_GB2312" w:cs="仿宋_GB2312"/>
          <w:szCs w:val="21"/>
          <w:u w:val="single"/>
        </w:rPr>
        <w:t>2023</w:t>
      </w:r>
      <w:r>
        <w:rPr>
          <w:rFonts w:hint="eastAsia" w:ascii="仿宋_GB2312" w:hAnsi="仿宋_GB2312" w:eastAsia="仿宋_GB2312" w:cs="仿宋_GB2312"/>
          <w:bCs/>
          <w:szCs w:val="21"/>
          <w:u w:val="single"/>
        </w:rPr>
        <w:t>年</w:t>
      </w:r>
      <w:r>
        <w:rPr>
          <w:rFonts w:ascii="仿宋_GB2312" w:hAnsi="仿宋_GB2312" w:eastAsia="仿宋_GB2312" w:cs="仿宋_GB2312"/>
          <w:bCs/>
          <w:szCs w:val="21"/>
          <w:u w:val="single"/>
        </w:rPr>
        <w:t>09</w:t>
      </w:r>
      <w:r>
        <w:rPr>
          <w:rFonts w:hint="eastAsia" w:ascii="仿宋_GB2312" w:hAnsi="仿宋_GB2312" w:eastAsia="仿宋_GB2312" w:cs="仿宋_GB2312"/>
          <w:bCs/>
          <w:szCs w:val="21"/>
          <w:u w:val="single"/>
        </w:rPr>
        <w:t>月26日</w:t>
      </w:r>
      <w:r>
        <w:rPr>
          <w:rFonts w:ascii="仿宋_GB2312" w:hAnsi="仿宋_GB2312" w:eastAsia="仿宋_GB2312" w:cs="仿宋_GB2312"/>
          <w:bCs/>
          <w:szCs w:val="21"/>
          <w:u w:val="single"/>
        </w:rPr>
        <w:t>09</w:t>
      </w:r>
      <w:r>
        <w:rPr>
          <w:rFonts w:hint="eastAsia" w:ascii="仿宋_GB2312" w:hAnsi="仿宋_GB2312" w:eastAsia="仿宋_GB2312" w:cs="仿宋_GB2312"/>
          <w:bCs/>
          <w:szCs w:val="21"/>
          <w:u w:val="single"/>
          <w:lang w:val="en-US" w:eastAsia="zh-CN"/>
        </w:rPr>
        <w:t>时</w:t>
      </w:r>
      <w:r>
        <w:rPr>
          <w:rFonts w:ascii="仿宋_GB2312" w:hAnsi="仿宋_GB2312" w:eastAsia="仿宋_GB2312" w:cs="仿宋_GB2312"/>
          <w:bCs/>
          <w:szCs w:val="21"/>
          <w:u w:val="single"/>
        </w:rPr>
        <w:t>30</w:t>
      </w:r>
      <w:r>
        <w:rPr>
          <w:rFonts w:hint="eastAsia" w:ascii="仿宋_GB2312" w:hAnsi="仿宋_GB2312" w:eastAsia="仿宋_GB2312" w:cs="仿宋_GB2312"/>
          <w:bCs/>
          <w:szCs w:val="21"/>
          <w:u w:val="single"/>
        </w:rPr>
        <w:t>分</w:t>
      </w:r>
      <w:bookmarkEnd w:id="13"/>
      <w:r>
        <w:rPr>
          <w:rFonts w:hint="eastAsia" w:ascii="仿宋_GB2312" w:hAnsi="仿宋_GB2312" w:eastAsia="仿宋_GB2312" w:cs="仿宋_GB2312"/>
          <w:bCs/>
          <w:szCs w:val="21"/>
        </w:rPr>
        <w:t>（北京时间）前递交投标文件</w:t>
      </w:r>
      <w:r>
        <w:rPr>
          <w:rFonts w:hint="eastAsia" w:ascii="仿宋_GB2312" w:hAnsi="仿宋_GB2312" w:eastAsia="仿宋_GB2312" w:cs="仿宋_GB2312"/>
          <w:szCs w:val="21"/>
        </w:rPr>
        <w:t>。</w:t>
      </w:r>
    </w:p>
    <w:p>
      <w:pPr>
        <w:widowControl/>
        <w:adjustRightInd w:val="0"/>
        <w:snapToGrid w:val="0"/>
        <w:spacing w:line="360" w:lineRule="auto"/>
        <w:ind w:firstLine="420" w:firstLineChars="200"/>
        <w:jc w:val="left"/>
        <w:rPr>
          <w:rFonts w:hint="eastAsia" w:ascii="仿宋_GB2312" w:hAnsi="仿宋_GB2312" w:eastAsia="仿宋_GB2312" w:cs="仿宋_GB2312"/>
          <w:b/>
          <w:bCs/>
          <w:kern w:val="0"/>
          <w:szCs w:val="21"/>
        </w:rPr>
      </w:pPr>
      <w:r>
        <w:rPr>
          <w:rFonts w:hint="eastAsia" w:ascii="仿宋_GB2312" w:hAnsi="仿宋_GB2312" w:eastAsia="仿宋_GB2312" w:cs="仿宋_GB2312"/>
          <w:kern w:val="0"/>
          <w:szCs w:val="21"/>
        </w:rPr>
        <w:t xml:space="preserve"> </w:t>
      </w:r>
    </w:p>
    <w:p>
      <w:pPr>
        <w:adjustRightInd w:val="0"/>
        <w:snapToGrid w:val="0"/>
        <w:spacing w:line="360" w:lineRule="auto"/>
        <w:rPr>
          <w:rFonts w:hint="eastAsia" w:ascii="仿宋_GB2312" w:hAnsi="仿宋_GB2312" w:eastAsia="仿宋_GB2312" w:cs="仿宋_GB2312"/>
          <w:b/>
          <w:bCs/>
          <w:szCs w:val="21"/>
        </w:rPr>
      </w:pPr>
      <w:bookmarkStart w:id="14" w:name="_Toc28359002"/>
      <w:bookmarkStart w:id="15" w:name="_Toc28359079"/>
      <w:bookmarkStart w:id="16" w:name="_Toc35393621"/>
      <w:bookmarkStart w:id="17" w:name="_Toc35393790"/>
      <w:bookmarkStart w:id="18" w:name="_Hlk24379207"/>
      <w:r>
        <w:rPr>
          <w:rFonts w:hint="eastAsia" w:ascii="仿宋_GB2312" w:hAnsi="仿宋_GB2312" w:eastAsia="仿宋_GB2312" w:cs="仿宋_GB2312"/>
          <w:b/>
          <w:bCs/>
          <w:szCs w:val="21"/>
        </w:rPr>
        <w:t>一、项目基本情况</w:t>
      </w:r>
      <w:bookmarkEnd w:id="14"/>
      <w:bookmarkEnd w:id="15"/>
      <w:bookmarkEnd w:id="16"/>
      <w:bookmarkEnd w:id="17"/>
    </w:p>
    <w:p>
      <w:pPr>
        <w:adjustRightInd w:val="0"/>
        <w:snapToGrid w:val="0"/>
        <w:spacing w:line="360" w:lineRule="auto"/>
        <w:ind w:firstLine="420" w:firstLineChars="200"/>
        <w:rPr>
          <w:rFonts w:hint="eastAsia" w:ascii="仿宋_GB2312" w:hAnsi="仿宋_GB2312" w:eastAsia="仿宋_GB2312" w:cs="仿宋_GB2312"/>
          <w:color w:val="FF0000"/>
          <w:szCs w:val="21"/>
        </w:rPr>
      </w:pPr>
      <w:r>
        <w:rPr>
          <w:rFonts w:hint="eastAsia" w:ascii="仿宋_GB2312" w:hAnsi="仿宋_GB2312" w:eastAsia="仿宋_GB2312" w:cs="仿宋_GB2312"/>
          <w:szCs w:val="21"/>
        </w:rPr>
        <w:t>项目编号：</w:t>
      </w:r>
      <w:r>
        <w:rPr>
          <w:rFonts w:ascii="仿宋_GB2312" w:hAnsi="仿宋_GB2312" w:eastAsia="仿宋_GB2312" w:cs="仿宋_GB2312"/>
          <w:szCs w:val="21"/>
        </w:rPr>
        <w:t>JH23-211221-00088</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项目名称：铁岭县集体土地所有权确权登记更新成果、集体建设用地使用权成果入库汇交和林业林权登记成果更新数据入库汇交</w:t>
      </w:r>
    </w:p>
    <w:bookmarkEnd w:id="18"/>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包组编号：001</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预算金额</w:t>
      </w:r>
      <w:bookmarkStart w:id="19" w:name="_Hlk144214135"/>
      <w:r>
        <w:rPr>
          <w:rFonts w:hint="eastAsia" w:ascii="仿宋_GB2312" w:hAnsi="仿宋_GB2312" w:eastAsia="仿宋_GB2312" w:cs="仿宋_GB2312"/>
          <w:szCs w:val="21"/>
        </w:rPr>
        <w:t>（元）</w:t>
      </w:r>
      <w:bookmarkEnd w:id="19"/>
      <w:r>
        <w:rPr>
          <w:rFonts w:hint="eastAsia" w:ascii="仿宋_GB2312" w:hAnsi="仿宋_GB2312" w:eastAsia="仿宋_GB2312" w:cs="仿宋_GB2312"/>
          <w:szCs w:val="21"/>
        </w:rPr>
        <w:t>：</w:t>
      </w:r>
      <w:bookmarkStart w:id="20" w:name="_Hlk144214151"/>
      <w:r>
        <w:rPr>
          <w:rFonts w:hint="eastAsia" w:ascii="仿宋_GB2312" w:hAnsi="仿宋_GB2312" w:eastAsia="仿宋_GB2312" w:cs="仿宋_GB2312"/>
          <w:szCs w:val="21"/>
        </w:rPr>
        <w:t>2</w:t>
      </w:r>
      <w:r>
        <w:rPr>
          <w:rFonts w:ascii="仿宋_GB2312" w:hAnsi="仿宋_GB2312" w:eastAsia="仿宋_GB2312" w:cs="仿宋_GB2312"/>
          <w:szCs w:val="21"/>
        </w:rPr>
        <w:t>,776</w:t>
      </w:r>
      <w:r>
        <w:rPr>
          <w:rFonts w:hint="eastAsia" w:ascii="仿宋_GB2312" w:hAnsi="仿宋_GB2312" w:eastAsia="仿宋_GB2312" w:cs="仿宋_GB2312"/>
          <w:szCs w:val="21"/>
        </w:rPr>
        <w:t>,</w:t>
      </w:r>
      <w:r>
        <w:rPr>
          <w:rFonts w:ascii="仿宋_GB2312" w:hAnsi="仿宋_GB2312" w:eastAsia="仿宋_GB2312" w:cs="仿宋_GB2312"/>
          <w:szCs w:val="21"/>
        </w:rPr>
        <w:t>000.00</w:t>
      </w:r>
      <w:bookmarkEnd w:id="20"/>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最高限价（元）：</w:t>
      </w:r>
      <w:r>
        <w:rPr>
          <w:rFonts w:ascii="仿宋_GB2312" w:hAnsi="仿宋_GB2312" w:eastAsia="仿宋_GB2312" w:cs="仿宋_GB2312"/>
          <w:szCs w:val="21"/>
        </w:rPr>
        <w:t>2,776,000.00</w:t>
      </w:r>
    </w:p>
    <w:p>
      <w:pPr>
        <w:adjustRightInd w:val="0"/>
        <w:snapToGrid w:val="0"/>
        <w:spacing w:line="360" w:lineRule="auto"/>
        <w:ind w:firstLine="420" w:firstLineChars="200"/>
        <w:rPr>
          <w:rFonts w:hint="eastAsia" w:ascii="仿宋_GB2312" w:hAnsi="仿宋_GB2312" w:eastAsia="仿宋_GB2312" w:cs="仿宋_GB2312"/>
          <w:szCs w:val="21"/>
          <w:u w:val="single"/>
        </w:rPr>
      </w:pPr>
      <w:r>
        <w:rPr>
          <w:rFonts w:hint="eastAsia" w:ascii="仿宋_GB2312" w:hAnsi="仿宋_GB2312" w:eastAsia="仿宋_GB2312" w:cs="仿宋_GB2312"/>
          <w:szCs w:val="21"/>
        </w:rPr>
        <w:t>采购需求：按照《不动产登记数据库标准》等技术规范要求，整理现有集体土地所有权确权登记成果，纳入不动产登记数据库，形成集体土地所有权地籍图；将集体建设用地使用权、林权纳入不动产登记数据库并汇交。</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合同履行期限：签订合同后30天完成。</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需落实的政府采购政策内容：促进中小企业、促进残疾人就业、支持监狱企业、支持脱贫攻坚等相关政策。</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本项目（是/否）接受联合体投标：否</w:t>
      </w:r>
    </w:p>
    <w:p>
      <w:pPr>
        <w:adjustRightInd w:val="0"/>
        <w:snapToGrid w:val="0"/>
        <w:spacing w:line="360" w:lineRule="auto"/>
        <w:rPr>
          <w:rFonts w:hint="eastAsia" w:ascii="仿宋_GB2312" w:hAnsi="仿宋_GB2312" w:eastAsia="仿宋_GB2312" w:cs="仿宋_GB2312"/>
          <w:b/>
          <w:bCs/>
          <w:szCs w:val="21"/>
        </w:rPr>
      </w:pPr>
      <w:bookmarkStart w:id="21" w:name="_Toc35393791"/>
      <w:bookmarkStart w:id="22" w:name="_Toc28359003"/>
      <w:bookmarkStart w:id="23" w:name="_Toc35393622"/>
      <w:bookmarkStart w:id="24" w:name="_Toc28359080"/>
      <w:r>
        <w:rPr>
          <w:rFonts w:hint="eastAsia" w:ascii="仿宋_GB2312" w:hAnsi="仿宋_GB2312" w:eastAsia="仿宋_GB2312" w:cs="仿宋_GB2312"/>
          <w:b/>
          <w:bCs/>
          <w:szCs w:val="21"/>
        </w:rPr>
        <w:t>二、供应商的资格要求：</w:t>
      </w:r>
      <w:bookmarkEnd w:id="21"/>
      <w:bookmarkEnd w:id="22"/>
      <w:bookmarkEnd w:id="23"/>
      <w:bookmarkEnd w:id="24"/>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1.满足《中华人民共和国政府采购法》第二十二条规定。</w:t>
      </w:r>
    </w:p>
    <w:p>
      <w:pPr>
        <w:adjustRightInd w:val="0"/>
        <w:snapToGrid w:val="0"/>
        <w:spacing w:line="360" w:lineRule="auto"/>
        <w:ind w:firstLine="420" w:firstLineChars="200"/>
        <w:rPr>
          <w:rFonts w:hint="eastAsia" w:ascii="仿宋" w:hAnsi="仿宋"/>
          <w:color w:val="333333"/>
          <w:sz w:val="22"/>
          <w:szCs w:val="22"/>
          <w:shd w:val="clear" w:color="auto" w:fill="FFFFFF"/>
        </w:rPr>
      </w:pPr>
      <w:bookmarkStart w:id="25" w:name="_Toc28359004"/>
      <w:bookmarkStart w:id="26" w:name="_Toc28359081"/>
      <w:r>
        <w:rPr>
          <w:rFonts w:hint="eastAsia" w:ascii="仿宋_GB2312" w:hAnsi="仿宋_GB2312" w:eastAsia="仿宋_GB2312" w:cs="仿宋_GB2312"/>
          <w:szCs w:val="21"/>
        </w:rPr>
        <w:t>2.落实政府采购政策需满足的资格要求：</w:t>
      </w:r>
      <w:r>
        <w:rPr>
          <w:rFonts w:hint="eastAsia" w:ascii="仿宋" w:hAnsi="仿宋" w:cs="仿宋"/>
          <w:szCs w:val="21"/>
        </w:rPr>
        <w:t>本项目专门面向中小企业采购，供应商应为中小微企业、监狱企业、残疾人福利性单位。</w:t>
      </w:r>
    </w:p>
    <w:p>
      <w:pPr>
        <w:adjustRightInd w:val="0"/>
        <w:snapToGrid w:val="0"/>
        <w:spacing w:line="360" w:lineRule="auto"/>
        <w:ind w:firstLine="420" w:firstLineChars="200"/>
        <w:rPr>
          <w:rFonts w:hint="eastAsia" w:ascii="仿宋_GB2312" w:hAnsi="仿宋_GB2312" w:eastAsia="仿宋_GB2312" w:cs="仿宋_GB2312"/>
          <w:i/>
          <w:iCs/>
          <w:szCs w:val="21"/>
          <w:u w:val="single"/>
        </w:rPr>
      </w:pPr>
      <w:r>
        <w:rPr>
          <w:rFonts w:hint="eastAsia" w:ascii="仿宋_GB2312" w:hAnsi="仿宋_GB2312" w:eastAsia="仿宋_GB2312" w:cs="仿宋_GB2312"/>
          <w:szCs w:val="21"/>
        </w:rPr>
        <w:t>3.本项目的特定资格要求：供应商具备测绘乙级（含）以上资质，专业类别包含界线与不动产测绘、地理信息系统工程。</w:t>
      </w:r>
    </w:p>
    <w:p>
      <w:pPr>
        <w:adjustRightInd w:val="0"/>
        <w:snapToGrid w:val="0"/>
        <w:spacing w:line="360" w:lineRule="auto"/>
        <w:rPr>
          <w:rFonts w:hint="eastAsia" w:ascii="仿宋_GB2312" w:hAnsi="仿宋_GB2312" w:eastAsia="仿宋_GB2312" w:cs="仿宋_GB2312"/>
          <w:b/>
          <w:bCs/>
          <w:szCs w:val="21"/>
        </w:rPr>
      </w:pPr>
      <w:r>
        <w:rPr>
          <w:rFonts w:hint="eastAsia" w:ascii="仿宋_GB2312" w:hAnsi="仿宋_GB2312" w:eastAsia="仿宋_GB2312" w:cs="仿宋_GB2312"/>
          <w:b/>
          <w:bCs/>
          <w:szCs w:val="21"/>
        </w:rPr>
        <w:t>三、政府采购供应商入库须知</w:t>
      </w:r>
    </w:p>
    <w:p>
      <w:pPr>
        <w:adjustRightInd w:val="0"/>
        <w:snapToGrid w:val="0"/>
        <w:spacing w:line="360" w:lineRule="auto"/>
        <w:ind w:firstLine="420" w:firstLineChars="200"/>
        <w:rPr>
          <w:rFonts w:hint="eastAsia" w:ascii="仿宋_GB2312" w:hAnsi="仿宋_GB2312" w:eastAsia="仿宋_GB2312" w:cs="仿宋_GB2312"/>
          <w:szCs w:val="21"/>
        </w:rPr>
      </w:pPr>
      <w:bookmarkStart w:id="27" w:name="_Toc35393792"/>
      <w:bookmarkStart w:id="28" w:name="_Toc35393623"/>
      <w:r>
        <w:rPr>
          <w:rFonts w:hint="eastAsia" w:ascii="仿宋_GB2312" w:hAnsi="仿宋_GB2312" w:eastAsia="仿宋_GB2312" w:cs="仿宋_GB2312"/>
          <w:szCs w:val="21"/>
        </w:rPr>
        <w:t>参加辽宁省政府采购活动的供应商未进入辽宁省政府采购供应商库的，请详阅辽宁政府采购网 “首页—政策法规”中公布的“政府采购供应商入库”的相关规定，及时办理入库登记手续。填写单位名称、统一社会信用代码和联系人等简要信息，由系统自动开通账号后，即可参与政府采购活动。具体规定详见《关于进一步优化辽宁省政府采购供应商入库程序的通知》（辽财采函〔2020〕198号）。</w:t>
      </w:r>
    </w:p>
    <w:p>
      <w:pPr>
        <w:adjustRightInd w:val="0"/>
        <w:snapToGrid w:val="0"/>
        <w:spacing w:line="360" w:lineRule="auto"/>
        <w:rPr>
          <w:rFonts w:hint="eastAsia" w:ascii="仿宋_GB2312" w:hAnsi="仿宋_GB2312" w:eastAsia="仿宋_GB2312" w:cs="仿宋_GB2312"/>
          <w:b/>
          <w:bCs/>
          <w:szCs w:val="21"/>
        </w:rPr>
      </w:pPr>
      <w:r>
        <w:rPr>
          <w:rFonts w:hint="eastAsia" w:ascii="仿宋_GB2312" w:hAnsi="仿宋_GB2312" w:eastAsia="仿宋_GB2312" w:cs="仿宋_GB2312"/>
          <w:b/>
          <w:bCs/>
          <w:szCs w:val="21"/>
        </w:rPr>
        <w:t>四、获取招标文件</w:t>
      </w:r>
      <w:bookmarkEnd w:id="25"/>
      <w:bookmarkEnd w:id="26"/>
      <w:bookmarkEnd w:id="27"/>
      <w:bookmarkEnd w:id="28"/>
    </w:p>
    <w:p>
      <w:pPr>
        <w:adjustRightInd w:val="0"/>
        <w:snapToGrid w:val="0"/>
        <w:spacing w:line="360" w:lineRule="auto"/>
        <w:ind w:firstLine="540"/>
        <w:rPr>
          <w:rFonts w:hint="eastAsia" w:ascii="仿宋_GB2312" w:hAnsi="仿宋_GB2312" w:eastAsia="仿宋_GB2312" w:cs="仿宋_GB2312"/>
          <w:szCs w:val="21"/>
        </w:rPr>
      </w:pPr>
      <w:r>
        <w:rPr>
          <w:rFonts w:hint="eastAsia" w:ascii="仿宋_GB2312" w:hAnsi="仿宋_GB2312" w:eastAsia="仿宋_GB2312" w:cs="仿宋_GB2312"/>
          <w:szCs w:val="21"/>
        </w:rPr>
        <w:t>时间：</w:t>
      </w:r>
      <w:r>
        <w:rPr>
          <w:rFonts w:hint="eastAsia" w:ascii="仿宋_GB2312" w:hAnsi="仿宋_GB2312" w:eastAsia="仿宋_GB2312" w:cs="仿宋_GB2312"/>
          <w:szCs w:val="21"/>
          <w:u w:val="single"/>
        </w:rPr>
        <w:t>2023年</w:t>
      </w:r>
      <w:r>
        <w:rPr>
          <w:rFonts w:hint="eastAsia" w:ascii="仿宋_GB2312" w:hAnsi="仿宋_GB2312" w:eastAsia="仿宋_GB2312" w:cs="仿宋_GB2312"/>
          <w:szCs w:val="21"/>
          <w:u w:val="single"/>
          <w:lang w:val="en-US" w:eastAsia="zh-CN"/>
        </w:rPr>
        <w:t>0</w:t>
      </w:r>
      <w:r>
        <w:rPr>
          <w:rFonts w:ascii="仿宋_GB2312" w:hAnsi="仿宋_GB2312" w:eastAsia="仿宋_GB2312" w:cs="仿宋_GB2312"/>
          <w:szCs w:val="21"/>
          <w:u w:val="single"/>
        </w:rPr>
        <w:t>9</w:t>
      </w:r>
      <w:r>
        <w:rPr>
          <w:rFonts w:hint="eastAsia" w:ascii="仿宋_GB2312" w:hAnsi="仿宋_GB2312" w:eastAsia="仿宋_GB2312" w:cs="仿宋_GB2312"/>
          <w:szCs w:val="21"/>
          <w:u w:val="single"/>
        </w:rPr>
        <w:t>月0</w:t>
      </w:r>
      <w:r>
        <w:rPr>
          <w:rFonts w:ascii="仿宋_GB2312" w:hAnsi="仿宋_GB2312" w:eastAsia="仿宋_GB2312" w:cs="仿宋_GB2312"/>
          <w:szCs w:val="21"/>
          <w:u w:val="single"/>
        </w:rPr>
        <w:t>5</w:t>
      </w:r>
      <w:r>
        <w:rPr>
          <w:rFonts w:hint="eastAsia" w:ascii="仿宋_GB2312" w:hAnsi="仿宋_GB2312" w:eastAsia="仿宋_GB2312" w:cs="仿宋_GB2312"/>
          <w:szCs w:val="21"/>
          <w:u w:val="single"/>
        </w:rPr>
        <w:t>日</w:t>
      </w:r>
      <w:r>
        <w:rPr>
          <w:rFonts w:hint="eastAsia" w:ascii="仿宋_GB2312" w:hAnsi="仿宋_GB2312" w:eastAsia="仿宋_GB2312" w:cs="仿宋_GB2312"/>
          <w:szCs w:val="21"/>
          <w:u w:val="single"/>
          <w:lang w:val="en-US" w:eastAsia="zh-CN"/>
        </w:rPr>
        <w:t>0</w:t>
      </w:r>
      <w:r>
        <w:rPr>
          <w:rFonts w:hint="eastAsia" w:ascii="仿宋_GB2312" w:hAnsi="仿宋_GB2312" w:eastAsia="仿宋_GB2312" w:cs="仿宋_GB2312"/>
          <w:szCs w:val="21"/>
          <w:u w:val="single"/>
        </w:rPr>
        <w:t>8时00分至2023年</w:t>
      </w:r>
      <w:r>
        <w:rPr>
          <w:rFonts w:hint="eastAsia" w:ascii="仿宋_GB2312" w:hAnsi="仿宋_GB2312" w:eastAsia="仿宋_GB2312" w:cs="仿宋_GB2312"/>
          <w:szCs w:val="21"/>
          <w:u w:val="single"/>
          <w:lang w:val="en-US" w:eastAsia="zh-CN"/>
        </w:rPr>
        <w:t>0</w:t>
      </w:r>
      <w:r>
        <w:rPr>
          <w:rFonts w:ascii="仿宋_GB2312" w:hAnsi="仿宋_GB2312" w:eastAsia="仿宋_GB2312" w:cs="仿宋_GB2312"/>
          <w:szCs w:val="21"/>
          <w:u w:val="single"/>
        </w:rPr>
        <w:t>9</w:t>
      </w:r>
      <w:r>
        <w:rPr>
          <w:rFonts w:hint="eastAsia" w:ascii="仿宋_GB2312" w:hAnsi="仿宋_GB2312" w:eastAsia="仿宋_GB2312" w:cs="仿宋_GB2312"/>
          <w:szCs w:val="21"/>
          <w:u w:val="single"/>
        </w:rPr>
        <w:t>月11日17时00分</w:t>
      </w:r>
      <w:r>
        <w:rPr>
          <w:rFonts w:hint="eastAsia" w:ascii="仿宋_GB2312" w:hAnsi="仿宋_GB2312" w:eastAsia="仿宋_GB2312" w:cs="仿宋_GB2312"/>
          <w:szCs w:val="21"/>
        </w:rPr>
        <w:t>（北京时间，法定节假日除外）</w:t>
      </w:r>
    </w:p>
    <w:p>
      <w:pPr>
        <w:adjustRightInd w:val="0"/>
        <w:snapToGrid w:val="0"/>
        <w:spacing w:line="360" w:lineRule="auto"/>
        <w:ind w:firstLine="540"/>
        <w:rPr>
          <w:rFonts w:hint="eastAsia" w:ascii="仿宋_GB2312" w:hAnsi="仿宋_GB2312" w:eastAsia="仿宋_GB2312" w:cs="仿宋_GB2312"/>
          <w:szCs w:val="21"/>
          <w:u w:val="single"/>
          <w:lang w:val="en-US" w:eastAsia="zh-CN"/>
        </w:rPr>
      </w:pPr>
      <w:r>
        <w:rPr>
          <w:rFonts w:hint="eastAsia" w:ascii="仿宋_GB2312" w:hAnsi="仿宋_GB2312" w:eastAsia="仿宋_GB2312" w:cs="仿宋_GB2312"/>
          <w:szCs w:val="21"/>
        </w:rPr>
        <w:t>地点：线上</w:t>
      </w:r>
      <w:r>
        <w:rPr>
          <w:rFonts w:hint="eastAsia" w:ascii="仿宋_GB2312" w:hAnsi="仿宋_GB2312" w:eastAsia="仿宋_GB2312" w:cs="仿宋_GB2312"/>
          <w:szCs w:val="21"/>
          <w:lang w:val="en-US" w:eastAsia="zh-CN"/>
        </w:rPr>
        <w:t>获取</w:t>
      </w:r>
    </w:p>
    <w:p>
      <w:pPr>
        <w:adjustRightInd w:val="0"/>
        <w:snapToGrid w:val="0"/>
        <w:spacing w:line="360" w:lineRule="auto"/>
        <w:ind w:firstLine="540"/>
        <w:rPr>
          <w:rFonts w:hint="eastAsia" w:ascii="仿宋_GB2312" w:hAnsi="仿宋_GB2312" w:eastAsia="仿宋_GB2312" w:cs="仿宋_GB2312"/>
          <w:szCs w:val="21"/>
          <w:u w:val="single"/>
        </w:rPr>
      </w:pPr>
      <w:r>
        <w:rPr>
          <w:rFonts w:hint="eastAsia" w:ascii="仿宋_GB2312" w:hAnsi="仿宋_GB2312" w:eastAsia="仿宋_GB2312" w:cs="仿宋_GB2312"/>
          <w:szCs w:val="21"/>
        </w:rPr>
        <w:t>方式：线上</w:t>
      </w:r>
    </w:p>
    <w:p>
      <w:pPr>
        <w:adjustRightInd w:val="0"/>
        <w:snapToGrid w:val="0"/>
        <w:spacing w:line="360" w:lineRule="auto"/>
        <w:ind w:firstLine="540"/>
        <w:rPr>
          <w:rFonts w:hint="eastAsia" w:ascii="仿宋_GB2312" w:hAnsi="仿宋_GB2312" w:eastAsia="仿宋_GB2312" w:cs="仿宋_GB2312"/>
          <w:szCs w:val="21"/>
        </w:rPr>
      </w:pPr>
      <w:r>
        <w:rPr>
          <w:rFonts w:hint="eastAsia" w:ascii="仿宋_GB2312" w:hAnsi="仿宋_GB2312" w:eastAsia="仿宋_GB2312" w:cs="仿宋_GB2312"/>
          <w:szCs w:val="21"/>
        </w:rPr>
        <w:t>售价：免费</w:t>
      </w:r>
    </w:p>
    <w:p>
      <w:pPr>
        <w:adjustRightInd w:val="0"/>
        <w:snapToGrid w:val="0"/>
        <w:spacing w:line="360" w:lineRule="auto"/>
        <w:rPr>
          <w:rFonts w:hint="eastAsia" w:ascii="仿宋_GB2312" w:hAnsi="仿宋_GB2312" w:eastAsia="仿宋_GB2312" w:cs="仿宋_GB2312"/>
          <w:b/>
          <w:bCs/>
          <w:szCs w:val="21"/>
        </w:rPr>
      </w:pPr>
      <w:bookmarkStart w:id="29" w:name="_Toc28359005"/>
      <w:bookmarkStart w:id="30" w:name="_Toc28359082"/>
      <w:bookmarkStart w:id="31" w:name="_Toc35393624"/>
      <w:bookmarkStart w:id="32" w:name="_Toc35393793"/>
      <w:r>
        <w:rPr>
          <w:rFonts w:hint="eastAsia" w:ascii="仿宋_GB2312" w:hAnsi="仿宋_GB2312" w:eastAsia="仿宋_GB2312" w:cs="仿宋_GB2312"/>
          <w:b/>
          <w:bCs/>
          <w:szCs w:val="21"/>
        </w:rPr>
        <w:t>五、提交投标文件</w:t>
      </w:r>
      <w:bookmarkEnd w:id="29"/>
      <w:bookmarkEnd w:id="30"/>
      <w:r>
        <w:rPr>
          <w:rFonts w:hint="eastAsia" w:ascii="仿宋_GB2312" w:hAnsi="仿宋_GB2312" w:eastAsia="仿宋_GB2312" w:cs="仿宋_GB2312"/>
          <w:b/>
          <w:bCs/>
          <w:szCs w:val="21"/>
        </w:rPr>
        <w:t>截止时间、开标时间和地点</w:t>
      </w:r>
      <w:bookmarkEnd w:id="31"/>
      <w:bookmarkEnd w:id="32"/>
    </w:p>
    <w:p>
      <w:pPr>
        <w:adjustRightInd w:val="0"/>
        <w:snapToGrid w:val="0"/>
        <w:spacing w:line="360" w:lineRule="auto"/>
        <w:ind w:firstLine="420" w:firstLineChars="200"/>
        <w:rPr>
          <w:rFonts w:hint="eastAsia" w:ascii="仿宋_GB2312" w:hAnsi="仿宋_GB2312" w:eastAsia="仿宋_GB2312" w:cs="仿宋_GB2312"/>
          <w:bCs/>
          <w:szCs w:val="21"/>
          <w:u w:val="single"/>
        </w:rPr>
      </w:pPr>
      <w:r>
        <w:rPr>
          <w:rFonts w:hint="eastAsia" w:ascii="仿宋_GB2312" w:hAnsi="仿宋_GB2312" w:eastAsia="仿宋_GB2312" w:cs="仿宋_GB2312"/>
          <w:bCs/>
          <w:szCs w:val="21"/>
          <w:u w:val="single"/>
        </w:rPr>
        <w:t>2023年09月26日09</w:t>
      </w:r>
      <w:r>
        <w:rPr>
          <w:rFonts w:hint="eastAsia" w:ascii="仿宋_GB2312" w:hAnsi="仿宋_GB2312" w:eastAsia="仿宋_GB2312" w:cs="仿宋_GB2312"/>
          <w:bCs/>
          <w:szCs w:val="21"/>
          <w:u w:val="single"/>
          <w:lang w:val="en-US" w:eastAsia="zh-CN"/>
        </w:rPr>
        <w:t>时</w:t>
      </w:r>
      <w:r>
        <w:rPr>
          <w:rFonts w:hint="eastAsia" w:ascii="仿宋_GB2312" w:hAnsi="仿宋_GB2312" w:eastAsia="仿宋_GB2312" w:cs="仿宋_GB2312"/>
          <w:bCs/>
          <w:szCs w:val="21"/>
          <w:u w:val="single"/>
        </w:rPr>
        <w:t>30分</w:t>
      </w:r>
      <w:r>
        <w:rPr>
          <w:rFonts w:hint="eastAsia" w:ascii="仿宋_GB2312" w:hAnsi="仿宋_GB2312" w:eastAsia="仿宋_GB2312" w:cs="仿宋_GB2312"/>
          <w:bCs/>
          <w:szCs w:val="21"/>
        </w:rPr>
        <w:t>（北京时间）</w:t>
      </w:r>
    </w:p>
    <w:p>
      <w:pPr>
        <w:adjustRightInd w:val="0"/>
        <w:snapToGrid w:val="0"/>
        <w:spacing w:line="360" w:lineRule="auto"/>
        <w:ind w:firstLine="420" w:firstLineChars="200"/>
        <w:rPr>
          <w:rFonts w:hint="eastAsia" w:ascii="仿宋_GB2312" w:hAnsi="仿宋_GB2312" w:eastAsia="仿宋_GB2312" w:cs="仿宋_GB2312"/>
          <w:bCs/>
          <w:szCs w:val="21"/>
          <w:u w:val="single"/>
        </w:rPr>
      </w:pPr>
      <w:r>
        <w:rPr>
          <w:rFonts w:hint="eastAsia" w:ascii="仿宋_GB2312" w:hAnsi="仿宋_GB2312" w:eastAsia="仿宋_GB2312" w:cs="仿宋_GB2312"/>
          <w:szCs w:val="21"/>
        </w:rPr>
        <w:t>地点：</w:t>
      </w:r>
      <w:bookmarkStart w:id="191" w:name="_GoBack"/>
      <w:bookmarkEnd w:id="191"/>
      <w:r>
        <w:rPr>
          <w:rFonts w:hint="eastAsia" w:ascii="仿宋_GB2312" w:hAnsi="仿宋_GB2312" w:eastAsia="仿宋_GB2312" w:cs="仿宋_GB2312"/>
          <w:szCs w:val="21"/>
          <w:lang w:eastAsia="zh-CN"/>
        </w:rPr>
        <w:t>铁岭县政务服务中心三楼</w:t>
      </w:r>
      <w:r>
        <w:rPr>
          <w:rFonts w:hint="eastAsia" w:ascii="仿宋_GB2312" w:hAnsi="仿宋_GB2312" w:eastAsia="仿宋_GB2312" w:cs="仿宋_GB2312"/>
          <w:szCs w:val="21"/>
        </w:rPr>
        <w:t>，供应商在辽宁政府采购网提交不需到现场，电子备份文件以电子邮件形式发送至</w:t>
      </w:r>
      <w:r>
        <w:rPr>
          <w:rFonts w:ascii="仿宋_GB2312" w:hAnsi="仿宋_GB2312" w:eastAsia="仿宋_GB2312" w:cs="仿宋_GB2312"/>
          <w:szCs w:val="21"/>
        </w:rPr>
        <w:t>lnsyymzx@163.com</w:t>
      </w:r>
    </w:p>
    <w:p>
      <w:pPr>
        <w:adjustRightInd w:val="0"/>
        <w:snapToGrid w:val="0"/>
        <w:spacing w:line="360" w:lineRule="auto"/>
        <w:rPr>
          <w:rFonts w:hint="eastAsia" w:ascii="仿宋_GB2312" w:hAnsi="仿宋_GB2312" w:eastAsia="仿宋_GB2312" w:cs="仿宋_GB2312"/>
          <w:b/>
          <w:bCs/>
          <w:szCs w:val="21"/>
        </w:rPr>
      </w:pPr>
      <w:bookmarkStart w:id="33" w:name="_Toc35393625"/>
      <w:bookmarkStart w:id="34" w:name="_Toc28359084"/>
      <w:bookmarkStart w:id="35" w:name="_Toc28359007"/>
      <w:bookmarkStart w:id="36" w:name="_Toc35393794"/>
      <w:r>
        <w:rPr>
          <w:rFonts w:hint="eastAsia" w:ascii="仿宋_GB2312" w:hAnsi="仿宋_GB2312" w:eastAsia="仿宋_GB2312" w:cs="仿宋_GB2312"/>
          <w:b/>
          <w:bCs/>
          <w:szCs w:val="21"/>
        </w:rPr>
        <w:t>六、公告期限</w:t>
      </w:r>
      <w:bookmarkEnd w:id="33"/>
      <w:bookmarkEnd w:id="34"/>
      <w:bookmarkEnd w:id="35"/>
      <w:bookmarkEnd w:id="36"/>
    </w:p>
    <w:p>
      <w:pPr>
        <w:adjustRightInd w:val="0"/>
        <w:snapToGrid w:val="0"/>
        <w:spacing w:line="360" w:lineRule="auto"/>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自本公告发布之日起5个工作日。</w:t>
      </w:r>
    </w:p>
    <w:p>
      <w:pPr>
        <w:adjustRightInd w:val="0"/>
        <w:snapToGrid w:val="0"/>
        <w:spacing w:line="360" w:lineRule="auto"/>
        <w:rPr>
          <w:rFonts w:hint="eastAsia" w:ascii="仿宋_GB2312" w:hAnsi="仿宋_GB2312" w:eastAsia="仿宋_GB2312" w:cs="仿宋_GB2312"/>
          <w:b/>
          <w:bCs/>
          <w:szCs w:val="21"/>
        </w:rPr>
      </w:pPr>
      <w:r>
        <w:rPr>
          <w:rFonts w:hint="eastAsia" w:ascii="仿宋_GB2312" w:hAnsi="仿宋_GB2312" w:eastAsia="仿宋_GB2312" w:cs="仿宋_GB2312"/>
          <w:b/>
          <w:bCs/>
          <w:szCs w:val="21"/>
        </w:rPr>
        <w:t>七、质疑与投诉</w:t>
      </w:r>
    </w:p>
    <w:p>
      <w:pPr>
        <w:widowControl/>
        <w:adjustRightInd w:val="0"/>
        <w:snapToGrid w:val="0"/>
        <w:spacing w:line="360" w:lineRule="auto"/>
        <w:ind w:firstLine="480"/>
        <w:jc w:val="left"/>
        <w:rPr>
          <w:rFonts w:hint="eastAsia" w:ascii="仿宋_GB2312" w:hAnsi="仿宋_GB2312" w:eastAsia="仿宋_GB2312" w:cs="仿宋_GB2312"/>
          <w:szCs w:val="21"/>
        </w:rPr>
      </w:pPr>
      <w:r>
        <w:rPr>
          <w:rFonts w:hint="eastAsia" w:ascii="仿宋_GB2312" w:hAnsi="仿宋_GB2312" w:eastAsia="仿宋_GB2312" w:cs="仿宋_GB2312"/>
          <w:szCs w:val="21"/>
        </w:rPr>
        <w:t>供应商认为自己的权益受到损害的，可以在知道或者应知其权益受到损害之日起七个工作日内，向采购代理机构或采购人提出质疑。</w:t>
      </w:r>
    </w:p>
    <w:p>
      <w:pPr>
        <w:widowControl/>
        <w:adjustRightInd w:val="0"/>
        <w:snapToGrid w:val="0"/>
        <w:spacing w:line="360" w:lineRule="auto"/>
        <w:ind w:firstLine="480"/>
        <w:jc w:val="left"/>
        <w:rPr>
          <w:rFonts w:hint="eastAsia" w:ascii="仿宋_GB2312" w:hAnsi="仿宋_GB2312" w:eastAsia="仿宋_GB2312" w:cs="仿宋_GB2312"/>
          <w:szCs w:val="21"/>
        </w:rPr>
      </w:pPr>
      <w:r>
        <w:rPr>
          <w:rFonts w:hint="eastAsia" w:ascii="仿宋_GB2312" w:hAnsi="仿宋_GB2312" w:eastAsia="仿宋_GB2312" w:cs="仿宋_GB2312"/>
          <w:szCs w:val="21"/>
        </w:rPr>
        <w:t>1、接收质疑函方式：线上或书面纸质质疑函</w:t>
      </w:r>
    </w:p>
    <w:p>
      <w:pPr>
        <w:widowControl/>
        <w:adjustRightInd w:val="0"/>
        <w:snapToGrid w:val="0"/>
        <w:spacing w:line="360" w:lineRule="auto"/>
        <w:ind w:firstLine="480"/>
        <w:jc w:val="left"/>
        <w:rPr>
          <w:rFonts w:hint="eastAsia" w:ascii="仿宋_GB2312" w:hAnsi="仿宋_GB2312" w:eastAsia="仿宋_GB2312" w:cs="仿宋_GB2312"/>
          <w:szCs w:val="21"/>
        </w:rPr>
      </w:pPr>
      <w:r>
        <w:rPr>
          <w:rFonts w:hint="eastAsia" w:ascii="仿宋_GB2312" w:hAnsi="仿宋_GB2312" w:eastAsia="仿宋_GB2312" w:cs="仿宋_GB2312"/>
          <w:szCs w:val="21"/>
        </w:rPr>
        <w:t>2、质疑函内容、格式：应符合《政府采购质疑和投诉办法》相关规定和财政部制定的《政府采购质疑函范本》格式，详见辽宁政府采购网。</w:t>
      </w:r>
    </w:p>
    <w:p>
      <w:pPr>
        <w:widowControl/>
        <w:adjustRightInd w:val="0"/>
        <w:snapToGrid w:val="0"/>
        <w:spacing w:line="360" w:lineRule="auto"/>
        <w:ind w:firstLine="480"/>
        <w:jc w:val="left"/>
        <w:rPr>
          <w:rFonts w:hint="eastAsia" w:ascii="仿宋_GB2312" w:hAnsi="仿宋_GB2312" w:eastAsia="仿宋_GB2312" w:cs="仿宋_GB2312"/>
          <w:szCs w:val="21"/>
        </w:rPr>
      </w:pPr>
      <w:r>
        <w:rPr>
          <w:rFonts w:hint="eastAsia" w:ascii="仿宋_GB2312" w:hAnsi="仿宋_GB2312" w:eastAsia="仿宋_GB2312" w:cs="仿宋_GB2312"/>
          <w:szCs w:val="21"/>
        </w:rPr>
        <w:t>质疑供应商对采购人、采购代理机构的答复不满意，或者采购人、采购代理机构未在规定时间内作出答复的，可以在答复期满后15个工作日内向本级财政部门提起投诉。</w:t>
      </w:r>
    </w:p>
    <w:p>
      <w:pPr>
        <w:adjustRightInd w:val="0"/>
        <w:snapToGrid w:val="0"/>
        <w:spacing w:line="360" w:lineRule="auto"/>
        <w:rPr>
          <w:rFonts w:hint="eastAsia" w:ascii="仿宋_GB2312" w:hAnsi="仿宋_GB2312" w:eastAsia="仿宋_GB2312" w:cs="仿宋_GB2312"/>
          <w:b/>
          <w:bCs/>
          <w:szCs w:val="21"/>
        </w:rPr>
      </w:pPr>
      <w:bookmarkStart w:id="37" w:name="_Toc35393795"/>
      <w:bookmarkStart w:id="38" w:name="_Toc35393626"/>
      <w:r>
        <w:rPr>
          <w:rFonts w:hint="eastAsia" w:ascii="仿宋_GB2312" w:hAnsi="仿宋_GB2312" w:eastAsia="仿宋_GB2312" w:cs="仿宋_GB2312"/>
          <w:b/>
          <w:bCs/>
          <w:szCs w:val="21"/>
        </w:rPr>
        <w:t>八、其他补充事宜</w:t>
      </w:r>
      <w:bookmarkEnd w:id="37"/>
      <w:bookmarkEnd w:id="38"/>
    </w:p>
    <w:p>
      <w:pPr>
        <w:widowControl/>
        <w:adjustRightInd w:val="0"/>
        <w:snapToGrid w:val="0"/>
        <w:spacing w:line="360" w:lineRule="auto"/>
        <w:ind w:firstLine="480"/>
        <w:jc w:val="left"/>
        <w:rPr>
          <w:rFonts w:ascii="仿宋" w:hAnsi="仿宋" w:cs="仿宋"/>
          <w:szCs w:val="21"/>
        </w:rPr>
      </w:pPr>
      <w:r>
        <w:rPr>
          <w:rFonts w:hint="eastAsia" w:ascii="仿宋" w:hAnsi="仿宋" w:cs="仿宋"/>
          <w:szCs w:val="21"/>
        </w:rPr>
        <w:t>1.本项目为电子标，供应商在线下载文件后须在获取采购文件规定时间内将以下材料扫描并发送至采购代理机构邮箱（邮箱地址：lnsyymzx@163.com），邮件注明单位名称、联系人、联系电话及所报名项目的名称，并电话联系确认，若未发送以下材料或逾期发送材料的后果自负。</w:t>
      </w:r>
    </w:p>
    <w:p>
      <w:pPr>
        <w:widowControl/>
        <w:adjustRightInd w:val="0"/>
        <w:snapToGrid w:val="0"/>
        <w:spacing w:line="360" w:lineRule="auto"/>
        <w:ind w:firstLine="480"/>
        <w:jc w:val="left"/>
        <w:rPr>
          <w:rFonts w:ascii="仿宋" w:hAnsi="仿宋" w:cs="仿宋"/>
          <w:szCs w:val="21"/>
        </w:rPr>
      </w:pPr>
      <w:r>
        <w:rPr>
          <w:rFonts w:hint="eastAsia" w:ascii="仿宋" w:hAnsi="仿宋" w:cs="仿宋"/>
          <w:szCs w:val="21"/>
        </w:rPr>
        <w:t>（1）法人或者其他组织的营业执照等主体证明文件或自然人的身份证明（自然人身份证明仅限在自然人作为投标主体时使用）；（2）法定代表人（或非法人组织负责人）身份证明书（自然人作为投标主体时不需提供）；（3）授权委托书（法定代表人、非法人组织负责人、自然人本人购买采购文件的无需提供）；（4）资质证书副本复印件加盖单位公章。</w:t>
      </w:r>
    </w:p>
    <w:p>
      <w:pPr>
        <w:adjustRightInd w:val="0"/>
        <w:snapToGrid w:val="0"/>
        <w:spacing w:line="360" w:lineRule="auto"/>
        <w:ind w:firstLine="420"/>
        <w:rPr>
          <w:rFonts w:ascii="仿宋" w:hAnsi="仿宋" w:cs="仿宋"/>
          <w:szCs w:val="21"/>
        </w:rPr>
      </w:pPr>
      <w:r>
        <w:rPr>
          <w:rFonts w:hint="eastAsia" w:ascii="仿宋" w:hAnsi="仿宋" w:cs="仿宋"/>
          <w:szCs w:val="21"/>
        </w:rPr>
        <w:t>2.参加辽宁省政府采购活动的供应商，请详阅辽宁政府采购网“首页-办事指南”中公布的“辽宁政府采购网关于办理CA数字证书的操作手册”和“辽宁政府采购网新版系统供应商操作手册”，具体规定详见《关于启用政府采购数字认证和电子招投标业务有关事宜的通知》（辽财采〔2020〕298号），请按照相关规定，及时办理CA锁及相关手续，因未办理相关手续造成的所有后果，由投标人自行承担。</w:t>
      </w:r>
    </w:p>
    <w:p>
      <w:pPr>
        <w:adjustRightInd w:val="0"/>
        <w:snapToGrid w:val="0"/>
        <w:spacing w:line="360" w:lineRule="auto"/>
        <w:ind w:firstLine="420"/>
        <w:rPr>
          <w:rFonts w:ascii="仿宋" w:hAnsi="仿宋" w:cs="仿宋"/>
          <w:szCs w:val="21"/>
        </w:rPr>
      </w:pPr>
      <w:r>
        <w:rPr>
          <w:rFonts w:hint="eastAsia" w:ascii="仿宋" w:hAnsi="仿宋" w:cs="仿宋"/>
          <w:szCs w:val="21"/>
        </w:rPr>
        <w:t>3</w:t>
      </w:r>
      <w:r>
        <w:rPr>
          <w:rFonts w:ascii="仿宋" w:hAnsi="仿宋" w:cs="仿宋"/>
          <w:szCs w:val="21"/>
        </w:rPr>
        <w:t>.</w:t>
      </w:r>
      <w:bookmarkStart w:id="39" w:name="_Hlk77081380"/>
      <w:r>
        <w:rPr>
          <w:rFonts w:hint="eastAsia" w:ascii="仿宋" w:hAnsi="仿宋" w:cs="仿宋"/>
          <w:szCs w:val="21"/>
        </w:rPr>
        <w:t>供应商应认真学习辽宁政府采购网电子文件制作指南，并按照采购文件和电子评审系统要求进行投标（响应）信息填报、电子文件编制、盖章或电子签章等工作。对于使用电子签章的，供应商应在辽宁政府采购网C</w:t>
      </w:r>
      <w:r>
        <w:rPr>
          <w:rFonts w:ascii="仿宋" w:hAnsi="仿宋" w:cs="仿宋"/>
          <w:szCs w:val="21"/>
        </w:rPr>
        <w:t>A</w:t>
      </w:r>
      <w:r>
        <w:rPr>
          <w:rFonts w:hint="eastAsia" w:ascii="仿宋" w:hAnsi="仿宋" w:cs="仿宋"/>
          <w:szCs w:val="21"/>
        </w:rPr>
        <w:t>认证平台下载签章工具或向C</w:t>
      </w:r>
      <w:r>
        <w:rPr>
          <w:rFonts w:ascii="仿宋" w:hAnsi="仿宋" w:cs="仿宋"/>
          <w:szCs w:val="21"/>
        </w:rPr>
        <w:t>A</w:t>
      </w:r>
      <w:r>
        <w:rPr>
          <w:rFonts w:hint="eastAsia" w:ascii="仿宋" w:hAnsi="仿宋" w:cs="仿宋"/>
          <w:szCs w:val="21"/>
        </w:rPr>
        <w:t>认证机构索要电子签章工具，对电子文件进行签章。电子文件中存在图片较多或内存较大等情况，需使用特殊工具对电子文件进行调整的，应在系统中认真核对调整后的电子文件，确保文件真实有效，清晰可辨，避免影响评审活动。</w:t>
      </w:r>
      <w:bookmarkEnd w:id="39"/>
    </w:p>
    <w:p>
      <w:pPr>
        <w:adjustRightInd w:val="0"/>
        <w:snapToGrid w:val="0"/>
        <w:spacing w:line="360" w:lineRule="auto"/>
        <w:ind w:firstLine="420"/>
        <w:rPr>
          <w:rFonts w:ascii="仿宋" w:hAnsi="仿宋" w:cs="仿宋"/>
          <w:szCs w:val="21"/>
        </w:rPr>
      </w:pPr>
      <w:r>
        <w:rPr>
          <w:rFonts w:hint="eastAsia" w:ascii="仿宋" w:hAnsi="仿宋" w:cs="仿宋"/>
          <w:szCs w:val="21"/>
        </w:rPr>
        <w:t>4</w:t>
      </w:r>
      <w:r>
        <w:rPr>
          <w:rFonts w:ascii="仿宋" w:hAnsi="仿宋" w:cs="仿宋"/>
          <w:szCs w:val="21"/>
        </w:rPr>
        <w:t>.</w:t>
      </w:r>
      <w:r>
        <w:rPr>
          <w:rFonts w:hint="eastAsia" w:ascii="仿宋" w:hAnsi="仿宋" w:cs="仿宋"/>
          <w:szCs w:val="21"/>
        </w:rPr>
        <w:t xml:space="preserve"> 供应商除在电子评审系统上传投标（响应）文件外，应在递交投标（响应）文件截止时间前提交以U盘形式存储或电子邮件的可加密备份文件，并承诺备份文件与电子评审系统中上传的投标（响应）文件内容、格式一致，备系统突发故障使用（投标文件内须附</w:t>
      </w:r>
      <w:r>
        <w:rPr>
          <w:rFonts w:ascii="仿宋" w:hAnsi="仿宋" w:cs="仿宋"/>
          <w:szCs w:val="21"/>
        </w:rPr>
        <w:t>《</w:t>
      </w:r>
      <w:r>
        <w:rPr>
          <w:rFonts w:hint="eastAsia" w:ascii="仿宋" w:hAnsi="仿宋" w:cs="仿宋"/>
          <w:szCs w:val="21"/>
        </w:rPr>
        <w:t>备份文件与电子评审系统中上传的投标（响应）文件一致性承诺函</w:t>
      </w:r>
      <w:r>
        <w:rPr>
          <w:rFonts w:ascii="仿宋" w:hAnsi="仿宋" w:cs="仿宋"/>
          <w:szCs w:val="21"/>
        </w:rPr>
        <w:t>》</w:t>
      </w:r>
      <w:r>
        <w:rPr>
          <w:rFonts w:hint="eastAsia" w:ascii="仿宋" w:hAnsi="仿宋" w:cs="仿宋"/>
          <w:szCs w:val="21"/>
        </w:rPr>
        <w:t>，格式见招标文件）。供应商仅提交备份文件的，投标（响应）无效。</w:t>
      </w:r>
    </w:p>
    <w:p>
      <w:pPr>
        <w:widowControl/>
        <w:adjustRightInd w:val="0"/>
        <w:snapToGrid w:val="0"/>
        <w:spacing w:line="360" w:lineRule="auto"/>
        <w:ind w:firstLine="420" w:firstLineChars="200"/>
        <w:jc w:val="left"/>
        <w:rPr>
          <w:rFonts w:hint="eastAsia" w:ascii="仿宋" w:hAnsi="仿宋" w:cs="仿宋"/>
          <w:szCs w:val="21"/>
        </w:rPr>
      </w:pPr>
      <w:r>
        <w:rPr>
          <w:rFonts w:hint="eastAsia" w:ascii="仿宋" w:hAnsi="仿宋" w:cs="仿宋"/>
          <w:szCs w:val="21"/>
        </w:rPr>
        <w:t>5</w:t>
      </w:r>
      <w:r>
        <w:rPr>
          <w:rFonts w:ascii="仿宋" w:hAnsi="仿宋" w:cs="仿宋"/>
          <w:szCs w:val="21"/>
        </w:rPr>
        <w:t>.</w:t>
      </w:r>
      <w:r>
        <w:rPr>
          <w:rFonts w:hint="eastAsia" w:ascii="仿宋" w:hAnsi="仿宋" w:cs="仿宋"/>
          <w:szCs w:val="21"/>
        </w:rPr>
        <w:t>关于电子标评审的相关要求详见辽财采函〔2021〕363号“关于完善政府采购电子评审业务流程等有关事宜的通知”。供应商在辽宁政府采购网上自行准备解密，解密时间：递交响应文件截止时间起至30分钟止。</w:t>
      </w:r>
    </w:p>
    <w:p>
      <w:pPr>
        <w:adjustRightInd w:val="0"/>
        <w:snapToGrid w:val="0"/>
        <w:spacing w:line="360" w:lineRule="auto"/>
        <w:rPr>
          <w:rFonts w:hint="eastAsia" w:ascii="仿宋_GB2312" w:hAnsi="仿宋_GB2312" w:eastAsia="仿宋_GB2312" w:cs="仿宋_GB2312"/>
          <w:b/>
          <w:bCs/>
          <w:szCs w:val="21"/>
        </w:rPr>
      </w:pPr>
      <w:bookmarkStart w:id="40" w:name="_Toc35393796"/>
      <w:bookmarkStart w:id="41" w:name="_Toc28359008"/>
      <w:bookmarkStart w:id="42" w:name="_Toc28359085"/>
      <w:bookmarkStart w:id="43" w:name="_Toc35393627"/>
      <w:r>
        <w:rPr>
          <w:rFonts w:hint="eastAsia" w:ascii="仿宋_GB2312" w:hAnsi="仿宋_GB2312" w:eastAsia="仿宋_GB2312" w:cs="仿宋_GB2312"/>
          <w:b/>
          <w:bCs/>
          <w:szCs w:val="21"/>
        </w:rPr>
        <w:t>九、对本次招标提出询问，请按以下方式联系。</w:t>
      </w:r>
      <w:bookmarkEnd w:id="40"/>
      <w:bookmarkEnd w:id="41"/>
      <w:bookmarkEnd w:id="42"/>
      <w:bookmarkEnd w:id="43"/>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1.采购人信息</w:t>
      </w:r>
    </w:p>
    <w:p>
      <w:pPr>
        <w:widowControl/>
        <w:adjustRightInd w:val="0"/>
        <w:snapToGrid w:val="0"/>
        <w:spacing w:line="360" w:lineRule="auto"/>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名称：铁岭县自然资源局</w:t>
      </w:r>
    </w:p>
    <w:p>
      <w:pPr>
        <w:widowControl/>
        <w:adjustRightInd w:val="0"/>
        <w:snapToGrid w:val="0"/>
        <w:spacing w:line="360" w:lineRule="auto"/>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地址：凡河新区金沙江路18号</w:t>
      </w:r>
    </w:p>
    <w:p>
      <w:pPr>
        <w:widowControl/>
        <w:adjustRightInd w:val="0"/>
        <w:snapToGrid w:val="0"/>
        <w:spacing w:line="360" w:lineRule="auto"/>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联系方式：</w:t>
      </w:r>
      <w:r>
        <w:rPr>
          <w:rFonts w:ascii="仿宋_GB2312" w:hAnsi="仿宋_GB2312" w:eastAsia="仿宋_GB2312" w:cs="仿宋_GB2312"/>
          <w:kern w:val="0"/>
          <w:szCs w:val="21"/>
        </w:rPr>
        <w:t>13841099595</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2.采购代理机构信息</w:t>
      </w:r>
    </w:p>
    <w:p>
      <w:pPr>
        <w:widowControl/>
        <w:adjustRightInd w:val="0"/>
        <w:snapToGrid w:val="0"/>
        <w:spacing w:line="360" w:lineRule="auto"/>
        <w:ind w:firstLine="420" w:firstLineChars="200"/>
        <w:jc w:val="left"/>
        <w:rPr>
          <w:rFonts w:ascii="仿宋" w:hAnsi="仿宋" w:cs="仿宋"/>
          <w:szCs w:val="21"/>
        </w:rPr>
      </w:pPr>
      <w:r>
        <w:rPr>
          <w:rFonts w:hint="eastAsia" w:ascii="仿宋" w:hAnsi="仿宋" w:cs="仿宋"/>
          <w:szCs w:val="21"/>
        </w:rPr>
        <w:t>名称：沈阳益铭招投标咨询有限公司</w:t>
      </w:r>
    </w:p>
    <w:p>
      <w:pPr>
        <w:widowControl/>
        <w:adjustRightInd w:val="0"/>
        <w:snapToGrid w:val="0"/>
        <w:spacing w:line="360" w:lineRule="auto"/>
        <w:ind w:firstLine="420" w:firstLineChars="200"/>
        <w:jc w:val="left"/>
        <w:rPr>
          <w:rFonts w:ascii="仿宋" w:hAnsi="仿宋" w:cs="仿宋"/>
          <w:szCs w:val="21"/>
        </w:rPr>
      </w:pPr>
      <w:r>
        <w:rPr>
          <w:rFonts w:hint="eastAsia" w:ascii="仿宋" w:hAnsi="仿宋" w:cs="仿宋"/>
          <w:szCs w:val="21"/>
        </w:rPr>
        <w:t>地址：沈阳市沈北新区七星大街12号OVU创客公社A座601室</w:t>
      </w:r>
    </w:p>
    <w:p>
      <w:pPr>
        <w:widowControl/>
        <w:adjustRightInd w:val="0"/>
        <w:snapToGrid w:val="0"/>
        <w:spacing w:line="360" w:lineRule="auto"/>
        <w:ind w:firstLine="420" w:firstLineChars="200"/>
        <w:jc w:val="left"/>
        <w:rPr>
          <w:rFonts w:ascii="仿宋" w:hAnsi="仿宋" w:cs="仿宋"/>
          <w:szCs w:val="21"/>
        </w:rPr>
      </w:pPr>
      <w:r>
        <w:rPr>
          <w:rFonts w:hint="eastAsia" w:ascii="仿宋" w:hAnsi="仿宋" w:cs="仿宋"/>
          <w:szCs w:val="21"/>
        </w:rPr>
        <w:t>联系方式：</w:t>
      </w:r>
      <w:bookmarkStart w:id="44" w:name="_Hlk127194858"/>
      <w:r>
        <w:rPr>
          <w:rFonts w:hint="eastAsia" w:ascii="仿宋" w:hAnsi="仿宋" w:cs="仿宋"/>
          <w:szCs w:val="21"/>
        </w:rPr>
        <w:t>024-62516636；13</w:t>
      </w:r>
      <w:r>
        <w:rPr>
          <w:rFonts w:ascii="仿宋" w:hAnsi="仿宋" w:cs="仿宋"/>
          <w:szCs w:val="21"/>
        </w:rPr>
        <w:t>604131404</w:t>
      </w:r>
      <w:bookmarkEnd w:id="44"/>
    </w:p>
    <w:p>
      <w:pPr>
        <w:widowControl/>
        <w:adjustRightInd w:val="0"/>
        <w:snapToGrid w:val="0"/>
        <w:spacing w:line="360" w:lineRule="auto"/>
        <w:ind w:firstLine="420" w:firstLineChars="200"/>
        <w:jc w:val="left"/>
        <w:rPr>
          <w:rFonts w:ascii="仿宋" w:hAnsi="仿宋" w:cs="仿宋"/>
          <w:szCs w:val="21"/>
        </w:rPr>
      </w:pPr>
      <w:bookmarkStart w:id="45" w:name="_Hlk126913003"/>
      <w:r>
        <w:rPr>
          <w:rFonts w:hint="eastAsia" w:ascii="仿宋" w:hAnsi="仿宋" w:cs="仿宋"/>
          <w:szCs w:val="21"/>
        </w:rPr>
        <w:t>邮箱地址：</w:t>
      </w:r>
      <w:r>
        <w:rPr>
          <w:rFonts w:ascii="仿宋" w:hAnsi="仿宋" w:cs="仿宋"/>
          <w:szCs w:val="21"/>
        </w:rPr>
        <w:t>lnsyymzx@163.com</w:t>
      </w:r>
    </w:p>
    <w:bookmarkEnd w:id="45"/>
    <w:p>
      <w:pPr>
        <w:widowControl/>
        <w:adjustRightInd w:val="0"/>
        <w:snapToGrid w:val="0"/>
        <w:spacing w:line="360" w:lineRule="auto"/>
        <w:ind w:firstLine="420" w:firstLineChars="200"/>
        <w:jc w:val="left"/>
        <w:rPr>
          <w:rFonts w:ascii="仿宋" w:hAnsi="仿宋" w:cs="仿宋"/>
          <w:szCs w:val="21"/>
        </w:rPr>
      </w:pPr>
      <w:r>
        <w:rPr>
          <w:rFonts w:hint="eastAsia" w:ascii="仿宋" w:hAnsi="仿宋" w:cs="仿宋"/>
          <w:szCs w:val="21"/>
        </w:rPr>
        <w:t>开户行：中国农业银行股份有限公司沈阳太原街支行</w:t>
      </w:r>
    </w:p>
    <w:p>
      <w:pPr>
        <w:widowControl/>
        <w:adjustRightInd w:val="0"/>
        <w:snapToGrid w:val="0"/>
        <w:spacing w:line="360" w:lineRule="auto"/>
        <w:ind w:firstLine="420" w:firstLineChars="200"/>
        <w:jc w:val="left"/>
        <w:rPr>
          <w:rFonts w:ascii="仿宋" w:hAnsi="仿宋" w:cs="仿宋"/>
          <w:szCs w:val="21"/>
        </w:rPr>
      </w:pPr>
      <w:r>
        <w:rPr>
          <w:rFonts w:hint="eastAsia" w:ascii="仿宋" w:hAnsi="仿宋" w:cs="仿宋"/>
          <w:szCs w:val="21"/>
        </w:rPr>
        <w:t>账户名称：沈阳益铭招投标咨询有限公司</w:t>
      </w:r>
    </w:p>
    <w:p>
      <w:pPr>
        <w:widowControl/>
        <w:adjustRightInd w:val="0"/>
        <w:snapToGrid w:val="0"/>
        <w:spacing w:line="360" w:lineRule="auto"/>
        <w:ind w:firstLine="420" w:firstLineChars="200"/>
        <w:jc w:val="left"/>
        <w:rPr>
          <w:rFonts w:ascii="仿宋" w:hAnsi="仿宋" w:cs="仿宋"/>
          <w:szCs w:val="21"/>
        </w:rPr>
      </w:pPr>
      <w:r>
        <w:rPr>
          <w:rFonts w:hint="eastAsia" w:ascii="仿宋" w:hAnsi="仿宋" w:cs="仿宋"/>
          <w:szCs w:val="21"/>
        </w:rPr>
        <w:t>账号：</w:t>
      </w:r>
      <w:r>
        <w:rPr>
          <w:rFonts w:ascii="仿宋" w:hAnsi="仿宋" w:cs="仿宋"/>
          <w:szCs w:val="21"/>
        </w:rPr>
        <w:t>06192001040016400</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3.项目联系方式</w:t>
      </w:r>
    </w:p>
    <w:p>
      <w:pPr>
        <w:widowControl/>
        <w:adjustRightInd w:val="0"/>
        <w:snapToGrid w:val="0"/>
        <w:spacing w:line="360" w:lineRule="auto"/>
        <w:ind w:firstLine="411" w:firstLineChars="196"/>
        <w:jc w:val="left"/>
        <w:rPr>
          <w:rFonts w:hint="eastAsia" w:ascii="仿宋_GB2312" w:hAnsi="仿宋_GB2312" w:eastAsia="仿宋_GB2312" w:cs="仿宋_GB2312"/>
          <w:szCs w:val="21"/>
        </w:rPr>
      </w:pPr>
      <w:r>
        <w:rPr>
          <w:rFonts w:hint="eastAsia" w:ascii="仿宋_GB2312" w:hAnsi="仿宋_GB2312" w:eastAsia="仿宋_GB2312" w:cs="仿宋_GB2312"/>
          <w:szCs w:val="21"/>
        </w:rPr>
        <w:t>项目联系人：初琪</w:t>
      </w:r>
    </w:p>
    <w:p>
      <w:pPr>
        <w:widowControl/>
        <w:adjustRightInd w:val="0"/>
        <w:snapToGrid w:val="0"/>
        <w:spacing w:line="360" w:lineRule="auto"/>
        <w:ind w:firstLine="411" w:firstLineChars="196"/>
        <w:jc w:val="left"/>
        <w:rPr>
          <w:rFonts w:ascii="仿宋_GB2312" w:hAnsi="仿宋_GB2312" w:eastAsia="仿宋_GB2312" w:cs="仿宋_GB2312"/>
          <w:szCs w:val="21"/>
        </w:rPr>
      </w:pPr>
      <w:r>
        <w:rPr>
          <w:rFonts w:hint="eastAsia" w:ascii="仿宋_GB2312" w:hAnsi="仿宋_GB2312" w:eastAsia="仿宋_GB2312" w:cs="仿宋_GB2312"/>
          <w:szCs w:val="21"/>
        </w:rPr>
        <w:t>电　话：024-62516636；13604131404</w:t>
      </w:r>
    </w:p>
    <w:p>
      <w:pPr>
        <w:widowControl/>
        <w:jc w:val="left"/>
        <w:rPr>
          <w:rFonts w:ascii="仿宋_GB2312" w:hAnsi="仿宋_GB2312" w:eastAsia="仿宋_GB2312" w:cs="仿宋_GB2312"/>
          <w:szCs w:val="21"/>
        </w:rPr>
      </w:pPr>
      <w:r>
        <w:rPr>
          <w:rFonts w:ascii="仿宋_GB2312" w:hAnsi="仿宋_GB2312" w:eastAsia="仿宋_GB2312" w:cs="仿宋_GB2312"/>
          <w:szCs w:val="21"/>
        </w:rPr>
        <w:br w:type="page"/>
      </w:r>
    </w:p>
    <w:p>
      <w:pPr>
        <w:pStyle w:val="2"/>
        <w:snapToGrid w:val="0"/>
        <w:spacing w:before="312" w:beforeLines="100" w:after="312" w:afterLines="100" w:line="360" w:lineRule="auto"/>
        <w:rPr>
          <w:rFonts w:ascii="仿宋_GB2312" w:hAnsi="仿宋_GB2312" w:eastAsia="仿宋_GB2312" w:cs="仿宋_GB2312"/>
        </w:rPr>
      </w:pPr>
      <w:bookmarkStart w:id="46" w:name="_Toc27235"/>
      <w:bookmarkStart w:id="47" w:name="_Toc26518_WPSOffice_Level1"/>
      <w:bookmarkStart w:id="48" w:name="_Toc17894"/>
      <w:r>
        <w:rPr>
          <w:rFonts w:hint="eastAsia" w:ascii="仿宋_GB2312" w:hAnsi="仿宋_GB2312" w:eastAsia="仿宋_GB2312" w:cs="仿宋_GB2312"/>
        </w:rPr>
        <w:t>第一章 投标人须知</w:t>
      </w:r>
      <w:bookmarkEnd w:id="46"/>
      <w:bookmarkEnd w:id="47"/>
      <w:bookmarkEnd w:id="48"/>
    </w:p>
    <w:p>
      <w:pPr>
        <w:pStyle w:val="3"/>
        <w:adjustRightInd w:val="0"/>
        <w:snapToGrid w:val="0"/>
        <w:spacing w:before="0" w:after="0" w:line="360" w:lineRule="auto"/>
        <w:rPr>
          <w:rFonts w:ascii="仿宋_GB2312" w:hAnsi="仿宋_GB2312" w:eastAsia="仿宋_GB2312" w:cs="仿宋_GB2312"/>
          <w:sz w:val="32"/>
          <w:szCs w:val="36"/>
        </w:rPr>
      </w:pPr>
      <w:bookmarkStart w:id="49" w:name="_Toc18613_WPSOffice_Level2"/>
      <w:r>
        <w:rPr>
          <w:rFonts w:hint="eastAsia" w:ascii="仿宋_GB2312" w:hAnsi="仿宋_GB2312" w:eastAsia="仿宋_GB2312" w:cs="仿宋_GB2312"/>
          <w:sz w:val="32"/>
          <w:szCs w:val="36"/>
        </w:rPr>
        <w:t>一 投标人须知表</w:t>
      </w:r>
      <w:bookmarkEnd w:id="49"/>
    </w:p>
    <w:tbl>
      <w:tblPr>
        <w:tblStyle w:val="12"/>
        <w:tblW w:w="8760" w:type="dxa"/>
        <w:tblInd w:w="0" w:type="dxa"/>
        <w:tblLayout w:type="fixed"/>
        <w:tblCellMar>
          <w:top w:w="0" w:type="dxa"/>
          <w:left w:w="108" w:type="dxa"/>
          <w:bottom w:w="0" w:type="dxa"/>
          <w:right w:w="108" w:type="dxa"/>
        </w:tblCellMar>
      </w:tblPr>
      <w:tblGrid>
        <w:gridCol w:w="761"/>
        <w:gridCol w:w="1714"/>
        <w:gridCol w:w="6285"/>
      </w:tblGrid>
      <w:tr>
        <w:tblPrEx>
          <w:tblCellMar>
            <w:top w:w="0" w:type="dxa"/>
            <w:left w:w="108" w:type="dxa"/>
            <w:bottom w:w="0" w:type="dxa"/>
            <w:right w:w="108" w:type="dxa"/>
          </w:tblCellMar>
        </w:tblPrEx>
        <w:trPr>
          <w:trHeight w:val="556" w:hRule="atLeast"/>
          <w:tblHeader/>
        </w:trPr>
        <w:tc>
          <w:tcPr>
            <w:tcW w:w="761" w:type="dxa"/>
            <w:tcBorders>
              <w:top w:val="single" w:color="auto" w:sz="4" w:space="0"/>
              <w:left w:val="single" w:color="auto" w:sz="4" w:space="0"/>
              <w:bottom w:val="single" w:color="auto" w:sz="4" w:space="0"/>
              <w:right w:val="single" w:color="auto" w:sz="4" w:space="0"/>
            </w:tcBorders>
            <w:vAlign w:val="center"/>
          </w:tcPr>
          <w:p>
            <w:pPr>
              <w:widowControl/>
              <w:ind w:left="-69" w:leftChars="-33" w:right="-69" w:rightChars="-33"/>
              <w:jc w:val="center"/>
              <w:rPr>
                <w:rFonts w:ascii="仿宋_GB2312" w:hAnsi="仿宋_GB2312" w:eastAsia="仿宋_GB2312" w:cs="仿宋_GB2312"/>
                <w:kern w:val="0"/>
                <w:szCs w:val="21"/>
              </w:rPr>
            </w:pPr>
            <w:bookmarkStart w:id="50" w:name="招标项目基本内容及要求：Block"/>
            <w:bookmarkEnd w:id="50"/>
            <w:bookmarkStart w:id="51" w:name="sys_招标项目基本内容及要求：Block"/>
            <w:bookmarkEnd w:id="51"/>
            <w:bookmarkStart w:id="52" w:name="招标项目基本内容及要求其他：Block"/>
            <w:bookmarkEnd w:id="52"/>
            <w:bookmarkStart w:id="53" w:name="sys_招标项目基本内容及要求其他：Block"/>
            <w:bookmarkEnd w:id="53"/>
            <w:r>
              <w:rPr>
                <w:rFonts w:hint="eastAsia" w:ascii="仿宋_GB2312" w:hAnsi="仿宋_GB2312" w:eastAsia="仿宋_GB2312" w:cs="仿宋_GB2312"/>
                <w:kern w:val="0"/>
                <w:szCs w:val="21"/>
              </w:rPr>
              <w:t>条款号</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   目</w:t>
            </w:r>
          </w:p>
        </w:tc>
        <w:tc>
          <w:tcPr>
            <w:tcW w:w="62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内     容</w:t>
            </w:r>
          </w:p>
        </w:tc>
      </w:tr>
      <w:tr>
        <w:tblPrEx>
          <w:tblCellMar>
            <w:top w:w="0" w:type="dxa"/>
            <w:left w:w="108" w:type="dxa"/>
            <w:bottom w:w="0" w:type="dxa"/>
            <w:right w:w="108" w:type="dxa"/>
          </w:tblCellMar>
        </w:tblPrEx>
        <w:trPr>
          <w:trHeight w:val="1254"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1.1</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采购人</w:t>
            </w:r>
          </w:p>
        </w:tc>
        <w:tc>
          <w:tcPr>
            <w:tcW w:w="628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名  称：</w:t>
            </w:r>
            <w:r>
              <w:rPr>
                <w:rFonts w:hint="eastAsia" w:ascii="仿宋_GB2312" w:hAnsi="仿宋_GB2312" w:eastAsia="仿宋_GB2312" w:cs="仿宋_GB2312"/>
                <w:kern w:val="0"/>
                <w:szCs w:val="21"/>
                <w:u w:val="single"/>
              </w:rPr>
              <w:t>铁岭县自然资源局</w:t>
            </w:r>
          </w:p>
          <w:p>
            <w:pPr>
              <w:widowControl/>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地  址：</w:t>
            </w:r>
            <w:r>
              <w:rPr>
                <w:rFonts w:hint="eastAsia" w:ascii="仿宋_GB2312" w:hAnsi="仿宋_GB2312" w:eastAsia="仿宋_GB2312" w:cs="仿宋_GB2312"/>
                <w:kern w:val="0"/>
                <w:szCs w:val="21"/>
                <w:u w:val="single"/>
              </w:rPr>
              <w:t>凡河新区金沙江路18号</w:t>
            </w:r>
          </w:p>
          <w:p>
            <w:pPr>
              <w:widowControl/>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联系人：</w:t>
            </w:r>
            <w:r>
              <w:rPr>
                <w:rFonts w:hint="eastAsia" w:ascii="仿宋_GB2312" w:hAnsi="仿宋_GB2312" w:eastAsia="仿宋_GB2312" w:cs="仿宋_GB2312"/>
                <w:kern w:val="0"/>
                <w:szCs w:val="21"/>
                <w:u w:val="single"/>
              </w:rPr>
              <w:t>梁丽</w:t>
            </w:r>
          </w:p>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电  话：</w:t>
            </w:r>
            <w:r>
              <w:rPr>
                <w:rFonts w:ascii="仿宋_GB2312" w:hAnsi="仿宋_GB2312" w:eastAsia="仿宋_GB2312" w:cs="仿宋_GB2312"/>
                <w:kern w:val="0"/>
                <w:szCs w:val="21"/>
                <w:u w:val="single"/>
              </w:rPr>
              <w:t>13841099595</w:t>
            </w:r>
          </w:p>
        </w:tc>
      </w:tr>
      <w:tr>
        <w:tblPrEx>
          <w:tblCellMar>
            <w:top w:w="0" w:type="dxa"/>
            <w:left w:w="108" w:type="dxa"/>
            <w:bottom w:w="0" w:type="dxa"/>
            <w:right w:w="108" w:type="dxa"/>
          </w:tblCellMar>
        </w:tblPrEx>
        <w:trPr>
          <w:trHeight w:val="1254"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1.2</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采购代理机构</w:t>
            </w:r>
          </w:p>
        </w:tc>
        <w:tc>
          <w:tcPr>
            <w:tcW w:w="628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cs="仿宋"/>
                <w:kern w:val="0"/>
                <w:szCs w:val="21"/>
                <w:u w:val="single"/>
              </w:rPr>
            </w:pPr>
            <w:r>
              <w:rPr>
                <w:rFonts w:hint="eastAsia" w:ascii="仿宋" w:hAnsi="仿宋" w:cs="仿宋"/>
                <w:kern w:val="0"/>
                <w:szCs w:val="21"/>
              </w:rPr>
              <w:t>名  称：</w:t>
            </w:r>
            <w:r>
              <w:rPr>
                <w:rFonts w:hint="eastAsia" w:ascii="仿宋" w:hAnsi="仿宋" w:cs="仿宋"/>
                <w:bCs/>
                <w:kern w:val="0"/>
                <w:szCs w:val="21"/>
                <w:u w:val="single"/>
              </w:rPr>
              <w:t>沈阳益铭招投标咨询有限公司</w:t>
            </w:r>
          </w:p>
          <w:p>
            <w:pPr>
              <w:widowControl/>
              <w:jc w:val="left"/>
              <w:rPr>
                <w:rFonts w:ascii="仿宋" w:hAnsi="仿宋" w:cs="仿宋"/>
                <w:kern w:val="0"/>
                <w:szCs w:val="21"/>
                <w:u w:val="single"/>
              </w:rPr>
            </w:pPr>
            <w:r>
              <w:rPr>
                <w:rFonts w:hint="eastAsia" w:ascii="仿宋" w:hAnsi="仿宋" w:cs="仿宋"/>
                <w:kern w:val="0"/>
                <w:szCs w:val="21"/>
              </w:rPr>
              <w:t>地  址：</w:t>
            </w:r>
            <w:r>
              <w:rPr>
                <w:rFonts w:hint="eastAsia" w:ascii="仿宋" w:hAnsi="仿宋" w:cs="仿宋"/>
                <w:bCs/>
                <w:kern w:val="0"/>
                <w:szCs w:val="21"/>
                <w:u w:val="single"/>
              </w:rPr>
              <w:t>沈阳市沈北新区七星大街1</w:t>
            </w:r>
            <w:r>
              <w:rPr>
                <w:rFonts w:ascii="仿宋" w:hAnsi="仿宋" w:cs="仿宋"/>
                <w:bCs/>
                <w:kern w:val="0"/>
                <w:szCs w:val="21"/>
                <w:u w:val="single"/>
              </w:rPr>
              <w:t>2</w:t>
            </w:r>
            <w:r>
              <w:rPr>
                <w:rFonts w:hint="eastAsia" w:ascii="仿宋" w:hAnsi="仿宋" w:cs="仿宋"/>
                <w:bCs/>
                <w:kern w:val="0"/>
                <w:szCs w:val="21"/>
                <w:u w:val="single"/>
              </w:rPr>
              <w:t>号O</w:t>
            </w:r>
            <w:r>
              <w:rPr>
                <w:rFonts w:ascii="仿宋" w:hAnsi="仿宋" w:cs="仿宋"/>
                <w:bCs/>
                <w:kern w:val="0"/>
                <w:szCs w:val="21"/>
                <w:u w:val="single"/>
              </w:rPr>
              <w:t>VU</w:t>
            </w:r>
            <w:r>
              <w:rPr>
                <w:rFonts w:hint="eastAsia" w:ascii="仿宋" w:hAnsi="仿宋" w:cs="仿宋"/>
                <w:bCs/>
                <w:kern w:val="0"/>
                <w:szCs w:val="21"/>
                <w:u w:val="single"/>
              </w:rPr>
              <w:t>创客公社A座6</w:t>
            </w:r>
            <w:r>
              <w:rPr>
                <w:rFonts w:ascii="仿宋" w:hAnsi="仿宋" w:cs="仿宋"/>
                <w:bCs/>
                <w:kern w:val="0"/>
                <w:szCs w:val="21"/>
                <w:u w:val="single"/>
              </w:rPr>
              <w:t>01</w:t>
            </w:r>
            <w:r>
              <w:rPr>
                <w:rFonts w:hint="eastAsia" w:ascii="仿宋" w:hAnsi="仿宋" w:cs="仿宋"/>
                <w:bCs/>
                <w:kern w:val="0"/>
                <w:szCs w:val="21"/>
                <w:u w:val="single"/>
              </w:rPr>
              <w:t>室</w:t>
            </w:r>
          </w:p>
          <w:p>
            <w:pPr>
              <w:widowControl/>
              <w:jc w:val="left"/>
              <w:rPr>
                <w:rFonts w:ascii="仿宋" w:hAnsi="仿宋" w:cs="仿宋"/>
                <w:kern w:val="0"/>
                <w:szCs w:val="21"/>
                <w:u w:val="single"/>
              </w:rPr>
            </w:pPr>
            <w:r>
              <w:rPr>
                <w:rFonts w:hint="eastAsia" w:ascii="仿宋" w:hAnsi="仿宋" w:cs="仿宋"/>
                <w:kern w:val="0"/>
                <w:szCs w:val="21"/>
              </w:rPr>
              <w:t>联系人：</w:t>
            </w:r>
            <w:r>
              <w:rPr>
                <w:rFonts w:hint="eastAsia" w:ascii="仿宋" w:hAnsi="仿宋" w:cs="仿宋"/>
                <w:kern w:val="0"/>
                <w:szCs w:val="21"/>
                <w:u w:val="single"/>
              </w:rPr>
              <w:t>初琪</w:t>
            </w:r>
          </w:p>
          <w:p>
            <w:pPr>
              <w:widowControl/>
              <w:jc w:val="left"/>
              <w:rPr>
                <w:rFonts w:ascii="仿宋_GB2312" w:hAnsi="仿宋_GB2312" w:eastAsia="仿宋_GB2312" w:cs="仿宋_GB2312"/>
                <w:kern w:val="0"/>
                <w:szCs w:val="21"/>
              </w:rPr>
            </w:pPr>
            <w:r>
              <w:rPr>
                <w:rFonts w:hint="eastAsia" w:ascii="仿宋" w:hAnsi="仿宋" w:cs="仿宋"/>
                <w:kern w:val="0"/>
                <w:szCs w:val="21"/>
              </w:rPr>
              <w:t>电  话：</w:t>
            </w:r>
            <w:r>
              <w:rPr>
                <w:rFonts w:hint="eastAsia" w:ascii="仿宋" w:hAnsi="仿宋" w:cs="仿宋"/>
                <w:kern w:val="0"/>
                <w:szCs w:val="21"/>
                <w:u w:val="single"/>
              </w:rPr>
              <w:t>024-62516636；13</w:t>
            </w:r>
            <w:r>
              <w:rPr>
                <w:rFonts w:ascii="仿宋" w:hAnsi="仿宋" w:cs="仿宋"/>
                <w:kern w:val="0"/>
                <w:szCs w:val="21"/>
                <w:u w:val="single"/>
              </w:rPr>
              <w:t>604131404</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1.3.4</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合格供应商还要满足的其它资格条件</w:t>
            </w:r>
          </w:p>
        </w:tc>
        <w:tc>
          <w:tcPr>
            <w:tcW w:w="628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供应商具备测绘乙级（含）以上资质，专业类别包含界线与不动产测绘、地理信息系统工程。</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1.3.5</w:t>
            </w:r>
          </w:p>
        </w:tc>
        <w:tc>
          <w:tcPr>
            <w:tcW w:w="1714"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Cs/>
                <w:kern w:val="0"/>
                <w:szCs w:val="21"/>
              </w:rPr>
            </w:pPr>
            <w:r>
              <w:rPr>
                <w:rFonts w:hint="eastAsia" w:ascii="仿宋_GB2312" w:hAnsi="仿宋_GB2312" w:eastAsia="仿宋_GB2312" w:cs="仿宋_GB2312"/>
                <w:kern w:val="0"/>
                <w:szCs w:val="21"/>
              </w:rPr>
              <w:t>是否为专门面向</w:t>
            </w:r>
            <w:r>
              <w:rPr>
                <w:rFonts w:hint="eastAsia" w:ascii="仿宋_GB2312" w:hAnsi="仿宋_GB2312" w:eastAsia="仿宋_GB2312" w:cs="仿宋_GB2312"/>
                <w:szCs w:val="21"/>
              </w:rPr>
              <w:t>中小企业</w:t>
            </w:r>
            <w:r>
              <w:rPr>
                <w:rFonts w:hint="eastAsia" w:ascii="仿宋_GB2312" w:hAnsi="仿宋_GB2312" w:eastAsia="仿宋_GB2312" w:cs="仿宋_GB2312"/>
                <w:kern w:val="0"/>
                <w:szCs w:val="21"/>
              </w:rPr>
              <w:t>采购</w:t>
            </w:r>
          </w:p>
        </w:tc>
        <w:tc>
          <w:tcPr>
            <w:tcW w:w="6285"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52"/>
            </w:r>
            <w:r>
              <w:rPr>
                <w:rFonts w:hint="eastAsia" w:ascii="仿宋_GB2312" w:hAnsi="仿宋_GB2312" w:eastAsia="仿宋_GB2312" w:cs="仿宋_GB2312"/>
                <w:kern w:val="0"/>
                <w:szCs w:val="21"/>
              </w:rPr>
              <w:t>是</w:t>
            </w:r>
          </w:p>
          <w:p>
            <w:pPr>
              <w:rPr>
                <w:rFonts w:ascii="仿宋_GB2312" w:hAnsi="仿宋_GB2312" w:eastAsia="仿宋_GB2312" w:cs="仿宋_GB2312"/>
                <w:bCs/>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否</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1.3.6</w:t>
            </w:r>
          </w:p>
        </w:tc>
        <w:tc>
          <w:tcPr>
            <w:tcW w:w="1714"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kern w:val="0"/>
                <w:szCs w:val="21"/>
              </w:rPr>
            </w:pPr>
            <w:r>
              <w:rPr>
                <w:rFonts w:hint="eastAsia" w:ascii="仿宋_GB2312" w:hAnsi="仿宋_GB2312" w:eastAsia="仿宋_GB2312" w:cs="仿宋_GB2312"/>
                <w:szCs w:val="21"/>
              </w:rPr>
              <w:t>是否有政府强制采购的节能产品</w:t>
            </w:r>
          </w:p>
        </w:tc>
        <w:tc>
          <w:tcPr>
            <w:tcW w:w="6285"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有，具体产品为</w:t>
            </w:r>
            <w:r>
              <w:rPr>
                <w:rFonts w:hint="eastAsia" w:ascii="仿宋_GB2312" w:hAnsi="仿宋_GB2312" w:eastAsia="仿宋_GB2312" w:cs="仿宋_GB2312"/>
                <w:bCs/>
                <w:kern w:val="0"/>
                <w:szCs w:val="21"/>
                <w:u w:val="single"/>
              </w:rPr>
              <w:t xml:space="preserve">        </w:t>
            </w: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52"/>
            </w:r>
            <w:r>
              <w:rPr>
                <w:rFonts w:hint="eastAsia" w:ascii="仿宋_GB2312" w:hAnsi="仿宋_GB2312" w:eastAsia="仿宋_GB2312" w:cs="仿宋_GB2312"/>
                <w:kern w:val="0"/>
                <w:szCs w:val="21"/>
              </w:rPr>
              <w:t>没有</w:t>
            </w:r>
          </w:p>
        </w:tc>
      </w:tr>
      <w:tr>
        <w:tblPrEx>
          <w:tblCellMar>
            <w:top w:w="0" w:type="dxa"/>
            <w:left w:w="108" w:type="dxa"/>
            <w:bottom w:w="0" w:type="dxa"/>
            <w:right w:w="108" w:type="dxa"/>
          </w:tblCellMar>
        </w:tblPrEx>
        <w:trPr>
          <w:trHeight w:val="321"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1.4</w:t>
            </w:r>
          </w:p>
        </w:tc>
        <w:tc>
          <w:tcPr>
            <w:tcW w:w="1714"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
                <w:kern w:val="0"/>
                <w:szCs w:val="21"/>
              </w:rPr>
            </w:pPr>
            <w:r>
              <w:rPr>
                <w:rFonts w:hint="eastAsia" w:ascii="仿宋_GB2312" w:hAnsi="仿宋_GB2312" w:eastAsia="仿宋_GB2312" w:cs="仿宋_GB2312"/>
                <w:bCs/>
                <w:kern w:val="0"/>
                <w:szCs w:val="21"/>
              </w:rPr>
              <w:t>是否允许联合体投标</w:t>
            </w:r>
          </w:p>
        </w:tc>
        <w:tc>
          <w:tcPr>
            <w:tcW w:w="6285"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是</w:t>
            </w: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52"/>
            </w:r>
            <w:r>
              <w:rPr>
                <w:rFonts w:hint="eastAsia" w:ascii="仿宋_GB2312" w:hAnsi="仿宋_GB2312" w:eastAsia="仿宋_GB2312" w:cs="仿宋_GB2312"/>
                <w:kern w:val="0"/>
                <w:szCs w:val="21"/>
              </w:rPr>
              <w:t>否</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1.4.8</w:t>
            </w:r>
          </w:p>
        </w:tc>
        <w:tc>
          <w:tcPr>
            <w:tcW w:w="1714"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联合体投标的其他资格要求</w:t>
            </w:r>
          </w:p>
        </w:tc>
        <w:tc>
          <w:tcPr>
            <w:tcW w:w="6285"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w:t>
            </w:r>
          </w:p>
        </w:tc>
      </w:tr>
      <w:tr>
        <w:tblPrEx>
          <w:tblCellMar>
            <w:top w:w="0" w:type="dxa"/>
            <w:left w:w="108" w:type="dxa"/>
            <w:bottom w:w="0" w:type="dxa"/>
            <w:right w:w="108" w:type="dxa"/>
          </w:tblCellMar>
        </w:tblPrEx>
        <w:trPr>
          <w:trHeight w:val="943" w:hRule="atLeast"/>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2.2</w:t>
            </w:r>
          </w:p>
        </w:tc>
        <w:tc>
          <w:tcPr>
            <w:tcW w:w="1714"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bCs/>
                <w:kern w:val="0"/>
                <w:szCs w:val="21"/>
              </w:rPr>
            </w:pPr>
            <w:r>
              <w:rPr>
                <w:rFonts w:hint="eastAsia" w:ascii="仿宋_GB2312" w:hAnsi="仿宋_GB2312" w:eastAsia="仿宋_GB2312" w:cs="仿宋_GB2312"/>
                <w:kern w:val="0"/>
                <w:szCs w:val="21"/>
              </w:rPr>
              <w:t>项目预算金额、最高限价</w:t>
            </w:r>
          </w:p>
        </w:tc>
        <w:tc>
          <w:tcPr>
            <w:tcW w:w="6285"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预算金额：</w:t>
            </w:r>
            <w:r>
              <w:rPr>
                <w:rFonts w:hint="eastAsia" w:ascii="仿宋_GB2312" w:hAnsi="仿宋_GB2312" w:eastAsia="仿宋_GB2312" w:cs="仿宋_GB2312"/>
                <w:bCs/>
                <w:kern w:val="0"/>
                <w:szCs w:val="21"/>
                <w:u w:val="single"/>
              </w:rPr>
              <w:t>2</w:t>
            </w:r>
            <w:r>
              <w:rPr>
                <w:rFonts w:ascii="仿宋_GB2312" w:hAnsi="仿宋_GB2312" w:eastAsia="仿宋_GB2312" w:cs="仿宋_GB2312"/>
                <w:bCs/>
                <w:kern w:val="0"/>
                <w:szCs w:val="21"/>
                <w:u w:val="single"/>
              </w:rPr>
              <w:t>,776</w:t>
            </w:r>
            <w:r>
              <w:rPr>
                <w:rFonts w:hint="eastAsia" w:ascii="仿宋_GB2312" w:hAnsi="仿宋_GB2312" w:eastAsia="仿宋_GB2312" w:cs="仿宋_GB2312"/>
                <w:bCs/>
                <w:kern w:val="0"/>
                <w:szCs w:val="21"/>
                <w:u w:val="single"/>
              </w:rPr>
              <w:t>,</w:t>
            </w:r>
            <w:r>
              <w:rPr>
                <w:rFonts w:ascii="仿宋_GB2312" w:hAnsi="仿宋_GB2312" w:eastAsia="仿宋_GB2312" w:cs="仿宋_GB2312"/>
                <w:bCs/>
                <w:kern w:val="0"/>
                <w:szCs w:val="21"/>
                <w:u w:val="single"/>
              </w:rPr>
              <w:t>000.00</w:t>
            </w:r>
            <w:r>
              <w:rPr>
                <w:rFonts w:hint="eastAsia" w:ascii="仿宋_GB2312" w:hAnsi="仿宋_GB2312" w:eastAsia="仿宋_GB2312" w:cs="仿宋_GB2312"/>
                <w:bCs/>
                <w:kern w:val="0"/>
                <w:szCs w:val="21"/>
              </w:rPr>
              <w:t>元</w:t>
            </w:r>
          </w:p>
          <w:p>
            <w:pP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最高限价：</w:t>
            </w:r>
            <w:r>
              <w:rPr>
                <w:rFonts w:hint="eastAsia" w:ascii="仿宋_GB2312" w:hAnsi="仿宋_GB2312" w:eastAsia="仿宋_GB2312" w:cs="仿宋_GB2312"/>
                <w:bCs/>
                <w:kern w:val="0"/>
                <w:szCs w:val="21"/>
                <w:u w:val="single"/>
              </w:rPr>
              <w:t>2</w:t>
            </w:r>
            <w:r>
              <w:rPr>
                <w:rFonts w:ascii="仿宋_GB2312" w:hAnsi="仿宋_GB2312" w:eastAsia="仿宋_GB2312" w:cs="仿宋_GB2312"/>
                <w:bCs/>
                <w:kern w:val="0"/>
                <w:szCs w:val="21"/>
                <w:u w:val="single"/>
              </w:rPr>
              <w:t>,776</w:t>
            </w:r>
            <w:r>
              <w:rPr>
                <w:rFonts w:hint="eastAsia" w:ascii="仿宋_GB2312" w:hAnsi="仿宋_GB2312" w:eastAsia="仿宋_GB2312" w:cs="仿宋_GB2312"/>
                <w:bCs/>
                <w:kern w:val="0"/>
                <w:szCs w:val="21"/>
                <w:u w:val="single"/>
              </w:rPr>
              <w:t>,</w:t>
            </w:r>
            <w:r>
              <w:rPr>
                <w:rFonts w:ascii="仿宋_GB2312" w:hAnsi="仿宋_GB2312" w:eastAsia="仿宋_GB2312" w:cs="仿宋_GB2312"/>
                <w:bCs/>
                <w:kern w:val="0"/>
                <w:szCs w:val="21"/>
                <w:u w:val="single"/>
              </w:rPr>
              <w:t>000.00</w:t>
            </w:r>
            <w:r>
              <w:rPr>
                <w:rFonts w:hint="eastAsia" w:ascii="仿宋_GB2312" w:hAnsi="仿宋_GB2312" w:eastAsia="仿宋_GB2312" w:cs="仿宋_GB2312"/>
                <w:bCs/>
                <w:kern w:val="0"/>
                <w:szCs w:val="21"/>
              </w:rPr>
              <w:t>元</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w:t>
            </w:r>
          </w:p>
        </w:tc>
        <w:tc>
          <w:tcPr>
            <w:tcW w:w="1714"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计量单位</w:t>
            </w:r>
          </w:p>
        </w:tc>
        <w:tc>
          <w:tcPr>
            <w:tcW w:w="6285"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sym w:font="Wingdings 2" w:char="0052"/>
            </w:r>
            <w:r>
              <w:rPr>
                <w:rFonts w:hint="eastAsia" w:ascii="仿宋_GB2312" w:hAnsi="仿宋_GB2312" w:eastAsia="仿宋_GB2312" w:cs="仿宋_GB2312"/>
                <w:bCs/>
                <w:kern w:val="0"/>
                <w:szCs w:val="21"/>
              </w:rPr>
              <w:t>中华人民共和国法定计量单位</w:t>
            </w:r>
          </w:p>
          <w:p>
            <w:pP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sym w:font="Wingdings 2" w:char="00A3"/>
            </w:r>
            <w:r>
              <w:rPr>
                <w:rFonts w:hint="eastAsia" w:ascii="仿宋_GB2312" w:hAnsi="仿宋_GB2312" w:eastAsia="仿宋_GB2312" w:cs="仿宋_GB2312"/>
                <w:bCs/>
                <w:kern w:val="0"/>
                <w:szCs w:val="21"/>
              </w:rPr>
              <w:t>其他：</w:t>
            </w:r>
            <w:r>
              <w:rPr>
                <w:rFonts w:hint="eastAsia" w:ascii="仿宋_GB2312" w:hAnsi="仿宋_GB2312" w:eastAsia="仿宋_GB2312" w:cs="仿宋_GB2312"/>
                <w:bCs/>
                <w:kern w:val="0"/>
                <w:szCs w:val="21"/>
                <w:u w:val="single"/>
              </w:rPr>
              <w:t xml:space="preserve">             </w:t>
            </w:r>
          </w:p>
        </w:tc>
      </w:tr>
      <w:tr>
        <w:tblPrEx>
          <w:tblCellMar>
            <w:top w:w="0" w:type="dxa"/>
            <w:left w:w="108" w:type="dxa"/>
            <w:bottom w:w="0" w:type="dxa"/>
            <w:right w:w="108" w:type="dxa"/>
          </w:tblCellMar>
        </w:tblPrEx>
        <w:trPr>
          <w:trHeight w:val="1875"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6.1</w:t>
            </w:r>
          </w:p>
        </w:tc>
        <w:tc>
          <w:tcPr>
            <w:tcW w:w="1714"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szCs w:val="21"/>
              </w:rPr>
            </w:pPr>
            <w:r>
              <w:rPr>
                <w:rFonts w:hint="eastAsia" w:ascii="仿宋_GB2312" w:hAnsi="仿宋_GB2312" w:eastAsia="仿宋_GB2312" w:cs="仿宋_GB2312"/>
                <w:kern w:val="0"/>
                <w:szCs w:val="21"/>
              </w:rPr>
              <w:t>现场考察、开标前答疑会</w:t>
            </w:r>
          </w:p>
        </w:tc>
        <w:tc>
          <w:tcPr>
            <w:tcW w:w="6285"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52"/>
            </w:r>
            <w:r>
              <w:rPr>
                <w:rFonts w:hint="eastAsia" w:ascii="仿宋_GB2312" w:hAnsi="仿宋_GB2312" w:eastAsia="仿宋_GB2312" w:cs="仿宋_GB2312"/>
                <w:kern w:val="0"/>
                <w:szCs w:val="21"/>
              </w:rPr>
              <w:t>不组织</w:t>
            </w: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组织，时  间：</w:t>
            </w:r>
            <w:r>
              <w:rPr>
                <w:rFonts w:hint="eastAsia" w:ascii="仿宋_GB2312" w:hAnsi="仿宋_GB2312" w:eastAsia="仿宋_GB2312" w:cs="仿宋_GB2312"/>
                <w:bCs/>
                <w:kern w:val="0"/>
                <w:szCs w:val="21"/>
                <w:u w:val="single"/>
              </w:rPr>
              <w:t xml:space="preserve">         </w:t>
            </w:r>
          </w:p>
          <w:p>
            <w:pPr>
              <w:widowControl/>
              <w:ind w:left="-105" w:leftChars="-50" w:firstLine="949" w:firstLineChars="452"/>
              <w:rPr>
                <w:rFonts w:ascii="仿宋_GB2312" w:hAnsi="仿宋_GB2312" w:eastAsia="仿宋_GB2312" w:cs="仿宋_GB2312"/>
                <w:kern w:val="0"/>
                <w:szCs w:val="21"/>
              </w:rPr>
            </w:pPr>
            <w:r>
              <w:rPr>
                <w:rFonts w:hint="eastAsia" w:ascii="仿宋_GB2312" w:hAnsi="仿宋_GB2312" w:eastAsia="仿宋_GB2312" w:cs="仿宋_GB2312"/>
                <w:kern w:val="0"/>
                <w:szCs w:val="21"/>
              </w:rPr>
              <w:t>地  点：</w:t>
            </w:r>
            <w:r>
              <w:rPr>
                <w:rFonts w:hint="eastAsia" w:ascii="仿宋_GB2312" w:hAnsi="仿宋_GB2312" w:eastAsia="仿宋_GB2312" w:cs="仿宋_GB2312"/>
                <w:bCs/>
                <w:kern w:val="0"/>
                <w:szCs w:val="21"/>
                <w:u w:val="single"/>
              </w:rPr>
              <w:t xml:space="preserve">         </w:t>
            </w:r>
          </w:p>
          <w:p>
            <w:pPr>
              <w:ind w:left="-105" w:leftChars="-50" w:firstLine="949" w:firstLineChars="452"/>
              <w:rPr>
                <w:rFonts w:ascii="仿宋_GB2312" w:hAnsi="仿宋_GB2312" w:eastAsia="仿宋_GB2312" w:cs="仿宋_GB2312"/>
                <w:kern w:val="0"/>
                <w:szCs w:val="21"/>
              </w:rPr>
            </w:pPr>
            <w:r>
              <w:rPr>
                <w:rFonts w:hint="eastAsia" w:ascii="仿宋_GB2312" w:hAnsi="仿宋_GB2312" w:eastAsia="仿宋_GB2312" w:cs="仿宋_GB2312"/>
                <w:kern w:val="0"/>
                <w:szCs w:val="21"/>
              </w:rPr>
              <w:t>联系人：</w:t>
            </w:r>
            <w:r>
              <w:rPr>
                <w:rFonts w:hint="eastAsia" w:ascii="仿宋_GB2312" w:hAnsi="仿宋_GB2312" w:eastAsia="仿宋_GB2312" w:cs="仿宋_GB2312"/>
                <w:bCs/>
                <w:kern w:val="0"/>
                <w:szCs w:val="21"/>
                <w:u w:val="single"/>
              </w:rPr>
              <w:t xml:space="preserve">         </w:t>
            </w:r>
          </w:p>
          <w:p>
            <w:pPr>
              <w:ind w:left="-105" w:leftChars="-50" w:firstLine="949" w:firstLineChars="452"/>
              <w:rPr>
                <w:rFonts w:ascii="仿宋_GB2312" w:hAnsi="仿宋_GB2312" w:eastAsia="仿宋_GB2312" w:cs="仿宋_GB2312"/>
                <w:kern w:val="0"/>
                <w:szCs w:val="21"/>
              </w:rPr>
            </w:pPr>
            <w:r>
              <w:rPr>
                <w:rFonts w:hint="eastAsia" w:ascii="仿宋_GB2312" w:hAnsi="仿宋_GB2312" w:eastAsia="仿宋_GB2312" w:cs="仿宋_GB2312"/>
                <w:kern w:val="0"/>
                <w:szCs w:val="21"/>
              </w:rPr>
              <w:t>电  话：</w:t>
            </w:r>
            <w:r>
              <w:rPr>
                <w:rFonts w:hint="eastAsia" w:ascii="仿宋_GB2312" w:hAnsi="仿宋_GB2312" w:eastAsia="仿宋_GB2312" w:cs="仿宋_GB2312"/>
                <w:bCs/>
                <w:kern w:val="0"/>
                <w:szCs w:val="21"/>
                <w:u w:val="single"/>
              </w:rPr>
              <w:t xml:space="preserve">         </w:t>
            </w: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组织，招标文件提供期限截止后以书面形式通知。</w:t>
            </w:r>
          </w:p>
        </w:tc>
      </w:tr>
      <w:tr>
        <w:tblPrEx>
          <w:tblCellMar>
            <w:top w:w="0" w:type="dxa"/>
            <w:left w:w="108" w:type="dxa"/>
            <w:bottom w:w="0" w:type="dxa"/>
            <w:right w:w="108" w:type="dxa"/>
          </w:tblCellMar>
        </w:tblPrEx>
        <w:trPr>
          <w:trHeight w:val="6227"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11.3</w:t>
            </w:r>
          </w:p>
        </w:tc>
        <w:tc>
          <w:tcPr>
            <w:tcW w:w="1714"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样品或演示</w:t>
            </w:r>
          </w:p>
        </w:tc>
        <w:tc>
          <w:tcPr>
            <w:tcW w:w="6285"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52"/>
            </w:r>
            <w:r>
              <w:rPr>
                <w:rFonts w:hint="eastAsia" w:ascii="仿宋_GB2312" w:hAnsi="仿宋_GB2312" w:eastAsia="仿宋_GB2312" w:cs="仿宋_GB2312"/>
                <w:kern w:val="0"/>
                <w:szCs w:val="21"/>
              </w:rPr>
              <w:t>不需要</w:t>
            </w:r>
            <w:r>
              <w:rPr>
                <w:rFonts w:hint="eastAsia" w:ascii="仿宋_GB2312" w:hAnsi="仿宋_GB2312" w:eastAsia="仿宋_GB2312" w:cs="仿宋_GB2312"/>
                <w:bCs/>
                <w:kern w:val="0"/>
                <w:szCs w:val="21"/>
              </w:rPr>
              <w:t>提供样品</w:t>
            </w:r>
          </w:p>
          <w:p>
            <w:pPr>
              <w:rPr>
                <w:rFonts w:ascii="仿宋_GB2312" w:hAnsi="仿宋_GB2312" w:eastAsia="仿宋_GB2312" w:cs="仿宋_GB2312"/>
                <w:bCs/>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需要</w:t>
            </w:r>
            <w:r>
              <w:rPr>
                <w:rFonts w:hint="eastAsia" w:ascii="仿宋_GB2312" w:hAnsi="仿宋_GB2312" w:eastAsia="仿宋_GB2312" w:cs="仿宋_GB2312"/>
                <w:bCs/>
                <w:kern w:val="0"/>
                <w:szCs w:val="21"/>
              </w:rPr>
              <w:t>提供样品</w:t>
            </w:r>
          </w:p>
          <w:p>
            <w:pPr>
              <w:rPr>
                <w:rFonts w:ascii="仿宋_GB2312" w:hAnsi="仿宋_GB2312" w:eastAsia="仿宋_GB2312" w:cs="仿宋_GB2312"/>
                <w:kern w:val="0"/>
                <w:szCs w:val="21"/>
              </w:rPr>
            </w:pPr>
            <w:r>
              <w:rPr>
                <w:rFonts w:hint="eastAsia" w:ascii="仿宋_GB2312" w:hAnsi="仿宋_GB2312" w:eastAsia="仿宋_GB2312" w:cs="仿宋_GB2312"/>
                <w:bCs/>
                <w:kern w:val="0"/>
                <w:szCs w:val="21"/>
              </w:rPr>
              <w:t xml:space="preserve">  </w:t>
            </w:r>
            <w:r>
              <w:rPr>
                <w:rFonts w:hint="eastAsia" w:ascii="仿宋_GB2312" w:hAnsi="仿宋_GB2312" w:eastAsia="仿宋_GB2312" w:cs="仿宋_GB2312"/>
                <w:kern w:val="0"/>
                <w:szCs w:val="21"/>
              </w:rPr>
              <w:t>1、递交样品的截止时间：</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年</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月</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日</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时（北京时间）</w:t>
            </w:r>
          </w:p>
          <w:p>
            <w:pPr>
              <w:ind w:firstLine="525" w:firstLineChars="250"/>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递交样品地点：</w:t>
            </w:r>
            <w:r>
              <w:rPr>
                <w:rFonts w:hint="eastAsia" w:ascii="仿宋_GB2312" w:hAnsi="仿宋_GB2312" w:eastAsia="仿宋_GB2312" w:cs="仿宋_GB2312"/>
                <w:kern w:val="0"/>
                <w:szCs w:val="21"/>
                <w:u w:val="single"/>
              </w:rPr>
              <w:t xml:space="preserve">                     </w:t>
            </w:r>
          </w:p>
          <w:p>
            <w:pPr>
              <w:ind w:firstLine="525" w:firstLineChars="250"/>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递交样品联系人：</w:t>
            </w:r>
            <w:r>
              <w:rPr>
                <w:rFonts w:hint="eastAsia" w:ascii="仿宋_GB2312" w:hAnsi="仿宋_GB2312" w:eastAsia="仿宋_GB2312" w:cs="仿宋_GB2312"/>
                <w:kern w:val="0"/>
                <w:szCs w:val="21"/>
                <w:u w:val="single"/>
              </w:rPr>
              <w:t xml:space="preserve">                   </w:t>
            </w:r>
          </w:p>
          <w:p>
            <w:pPr>
              <w:ind w:firstLine="525" w:firstLineChars="250"/>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递交样品联系电话：</w:t>
            </w:r>
            <w:r>
              <w:rPr>
                <w:rFonts w:hint="eastAsia" w:ascii="仿宋_GB2312" w:hAnsi="仿宋_GB2312" w:eastAsia="仿宋_GB2312" w:cs="仿宋_GB2312"/>
                <w:kern w:val="0"/>
                <w:szCs w:val="21"/>
                <w:u w:val="single"/>
              </w:rPr>
              <w:t xml:space="preserve">                 </w:t>
            </w:r>
          </w:p>
          <w:p>
            <w:pPr>
              <w:ind w:firstLine="21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2、样品制作的标准和要求：</w:t>
            </w:r>
            <w:r>
              <w:rPr>
                <w:rFonts w:hint="eastAsia" w:ascii="仿宋_GB2312" w:hAnsi="仿宋_GB2312" w:eastAsia="仿宋_GB2312" w:cs="仿宋_GB2312"/>
                <w:kern w:val="0"/>
                <w:szCs w:val="21"/>
                <w:u w:val="single"/>
              </w:rPr>
              <w:t xml:space="preserve">             </w:t>
            </w:r>
          </w:p>
          <w:p>
            <w:pPr>
              <w:ind w:firstLine="21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3、随样品提交相关检测报告要求：</w:t>
            </w:r>
            <w:r>
              <w:rPr>
                <w:rFonts w:hint="eastAsia" w:ascii="仿宋_GB2312" w:hAnsi="仿宋_GB2312" w:eastAsia="仿宋_GB2312" w:cs="仿宋_GB2312"/>
                <w:kern w:val="0"/>
                <w:szCs w:val="21"/>
                <w:u w:val="single"/>
              </w:rPr>
              <w:t xml:space="preserve">       </w:t>
            </w:r>
          </w:p>
          <w:p>
            <w:pPr>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（包含是否要求提供、检测机构要求、检测内容等）</w:t>
            </w:r>
          </w:p>
          <w:p>
            <w:pPr>
              <w:numPr>
                <w:ilvl w:val="0"/>
                <w:numId w:val="2"/>
              </w:numPr>
              <w:rPr>
                <w:rFonts w:ascii="仿宋_GB2312" w:hAnsi="仿宋_GB2312" w:eastAsia="仿宋_GB2312" w:cs="仿宋_GB2312"/>
                <w:kern w:val="0"/>
                <w:szCs w:val="21"/>
              </w:rPr>
            </w:pPr>
            <w:r>
              <w:rPr>
                <w:rFonts w:hint="eastAsia" w:ascii="仿宋_GB2312" w:hAnsi="仿宋_GB2312" w:eastAsia="仿宋_GB2312" w:cs="仿宋_GB2312"/>
                <w:kern w:val="0"/>
                <w:szCs w:val="21"/>
              </w:rPr>
              <w:t>样品的封存及退回：中标投标人的样品将由采购人进行保管、封存，并作为履约验收的参考。未中标的投标人提供的样品，应当由采购人进行保管、封存，中标公告之日起七个工作日后，由未中标人自行领回或经未中标人同意后自行处理。</w:t>
            </w:r>
          </w:p>
          <w:p>
            <w:pPr>
              <w:ind w:left="210"/>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  </w:t>
            </w: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52"/>
            </w:r>
            <w:r>
              <w:rPr>
                <w:rFonts w:hint="eastAsia" w:ascii="仿宋_GB2312" w:hAnsi="仿宋_GB2312" w:eastAsia="仿宋_GB2312" w:cs="仿宋_GB2312"/>
                <w:kern w:val="0"/>
                <w:szCs w:val="21"/>
              </w:rPr>
              <w:t>不</w:t>
            </w:r>
            <w:r>
              <w:rPr>
                <w:rFonts w:hint="eastAsia" w:ascii="仿宋_GB2312" w:hAnsi="仿宋_GB2312" w:eastAsia="仿宋_GB2312" w:cs="仿宋_GB2312"/>
                <w:bCs/>
                <w:kern w:val="0"/>
                <w:szCs w:val="21"/>
              </w:rPr>
              <w:t>需要提供演示</w:t>
            </w:r>
          </w:p>
          <w:p>
            <w:pPr>
              <w:rPr>
                <w:rFonts w:ascii="仿宋_GB2312" w:hAnsi="仿宋_GB2312" w:eastAsia="仿宋_GB2312" w:cs="仿宋_GB2312"/>
                <w:bCs/>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需要</w:t>
            </w:r>
            <w:r>
              <w:rPr>
                <w:rFonts w:hint="eastAsia" w:ascii="仿宋_GB2312" w:hAnsi="仿宋_GB2312" w:eastAsia="仿宋_GB2312" w:cs="仿宋_GB2312"/>
                <w:bCs/>
                <w:kern w:val="0"/>
                <w:szCs w:val="21"/>
              </w:rPr>
              <w:t>提供演示</w:t>
            </w:r>
          </w:p>
          <w:p>
            <w:pPr>
              <w:rPr>
                <w:rFonts w:ascii="仿宋_GB2312" w:hAnsi="仿宋_GB2312" w:eastAsia="仿宋_GB2312" w:cs="仿宋_GB2312"/>
                <w:kern w:val="0"/>
                <w:szCs w:val="21"/>
              </w:rPr>
            </w:pPr>
            <w:r>
              <w:rPr>
                <w:rFonts w:hint="eastAsia" w:ascii="仿宋_GB2312" w:hAnsi="仿宋_GB2312" w:eastAsia="仿宋_GB2312" w:cs="仿宋_GB2312"/>
                <w:bCs/>
                <w:kern w:val="0"/>
                <w:szCs w:val="21"/>
              </w:rPr>
              <w:t xml:space="preserve">  </w:t>
            </w:r>
            <w:r>
              <w:rPr>
                <w:rFonts w:hint="eastAsia" w:ascii="仿宋_GB2312" w:hAnsi="仿宋_GB2312" w:eastAsia="仿宋_GB2312" w:cs="仿宋_GB2312"/>
                <w:kern w:val="0"/>
                <w:szCs w:val="21"/>
              </w:rPr>
              <w:t>1、演示时间：</w:t>
            </w:r>
            <w:r>
              <w:rPr>
                <w:rFonts w:hint="eastAsia" w:ascii="仿宋_GB2312" w:hAnsi="仿宋_GB2312" w:eastAsia="仿宋_GB2312" w:cs="仿宋_GB2312"/>
                <w:kern w:val="0"/>
                <w:szCs w:val="21"/>
                <w:u w:val="single"/>
              </w:rPr>
              <w:t xml:space="preserve">             </w:t>
            </w: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     演示地点：</w:t>
            </w:r>
            <w:r>
              <w:rPr>
                <w:rFonts w:hint="eastAsia" w:ascii="仿宋_GB2312" w:hAnsi="仿宋_GB2312" w:eastAsia="仿宋_GB2312" w:cs="仿宋_GB2312"/>
                <w:kern w:val="0"/>
                <w:szCs w:val="21"/>
                <w:u w:val="single"/>
              </w:rPr>
              <w:t xml:space="preserve">             </w:t>
            </w:r>
          </w:p>
          <w:p>
            <w:pPr>
              <w:ind w:firstLine="21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   演示顺序：</w:t>
            </w:r>
            <w:r>
              <w:rPr>
                <w:rFonts w:hint="eastAsia" w:ascii="仿宋_GB2312" w:hAnsi="仿宋_GB2312" w:eastAsia="仿宋_GB2312" w:cs="仿宋_GB2312"/>
                <w:kern w:val="0"/>
                <w:szCs w:val="21"/>
                <w:u w:val="single"/>
              </w:rPr>
              <w:t xml:space="preserve">             </w:t>
            </w:r>
          </w:p>
          <w:p>
            <w:pPr>
              <w:ind w:firstLine="21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2、演示要求：</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（内容、设备等要求）</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12.1</w:t>
            </w:r>
          </w:p>
        </w:tc>
        <w:tc>
          <w:tcPr>
            <w:tcW w:w="1714"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投标报价货币要求</w:t>
            </w:r>
          </w:p>
        </w:tc>
        <w:tc>
          <w:tcPr>
            <w:tcW w:w="6285"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52"/>
            </w:r>
            <w:r>
              <w:rPr>
                <w:rFonts w:hint="eastAsia" w:ascii="仿宋_GB2312" w:hAnsi="仿宋_GB2312" w:eastAsia="仿宋_GB2312" w:cs="仿宋_GB2312"/>
                <w:kern w:val="0"/>
                <w:szCs w:val="21"/>
              </w:rPr>
              <w:t>所有投标均按</w:t>
            </w:r>
            <w:r>
              <w:rPr>
                <w:rFonts w:hint="eastAsia" w:ascii="仿宋_GB2312" w:hAnsi="仿宋_GB2312" w:eastAsia="仿宋_GB2312" w:cs="仿宋_GB2312"/>
                <w:kern w:val="0"/>
                <w:szCs w:val="21"/>
                <w:u w:val="single"/>
              </w:rPr>
              <w:t xml:space="preserve"> 人民币 </w:t>
            </w:r>
            <w:r>
              <w:rPr>
                <w:rFonts w:hint="eastAsia" w:ascii="仿宋_GB2312" w:hAnsi="仿宋_GB2312" w:eastAsia="仿宋_GB2312" w:cs="仿宋_GB2312"/>
                <w:kern w:val="0"/>
                <w:szCs w:val="21"/>
              </w:rPr>
              <w:t>货币进行报价。</w:t>
            </w:r>
          </w:p>
          <w:p>
            <w:pPr>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其它：</w:t>
            </w:r>
            <w:r>
              <w:rPr>
                <w:rFonts w:hint="eastAsia" w:ascii="仿宋_GB2312" w:hAnsi="仿宋_GB2312" w:eastAsia="仿宋_GB2312" w:cs="仿宋_GB2312"/>
                <w:kern w:val="0"/>
                <w:szCs w:val="21"/>
                <w:u w:val="single"/>
              </w:rPr>
              <w:t xml:space="preserve">               </w:t>
            </w:r>
          </w:p>
        </w:tc>
      </w:tr>
      <w:tr>
        <w:tblPrEx>
          <w:tblCellMar>
            <w:top w:w="0" w:type="dxa"/>
            <w:left w:w="108" w:type="dxa"/>
            <w:bottom w:w="0" w:type="dxa"/>
            <w:right w:w="108" w:type="dxa"/>
          </w:tblCellMar>
        </w:tblPrEx>
        <w:trPr>
          <w:trHeight w:val="3119" w:hRule="atLeast"/>
        </w:trPr>
        <w:tc>
          <w:tcPr>
            <w:tcW w:w="761" w:type="dxa"/>
            <w:tcBorders>
              <w:top w:val="single" w:color="auto" w:sz="4" w:space="0"/>
              <w:left w:val="single" w:color="auto" w:sz="8" w:space="0"/>
              <w:bottom w:val="single" w:color="auto" w:sz="8"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13.1</w:t>
            </w:r>
          </w:p>
        </w:tc>
        <w:tc>
          <w:tcPr>
            <w:tcW w:w="1714" w:type="dxa"/>
            <w:tcBorders>
              <w:top w:val="single" w:color="auto" w:sz="4" w:space="0"/>
              <w:left w:val="single" w:color="auto" w:sz="4" w:space="0"/>
              <w:bottom w:val="single" w:color="auto" w:sz="8" w:space="0"/>
              <w:right w:val="single" w:color="auto" w:sz="8"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投标保证金</w:t>
            </w:r>
          </w:p>
        </w:tc>
        <w:tc>
          <w:tcPr>
            <w:tcW w:w="6285" w:type="dxa"/>
            <w:tcBorders>
              <w:top w:val="single" w:color="auto" w:sz="4" w:space="0"/>
              <w:left w:val="nil"/>
              <w:bottom w:val="single" w:color="auto" w:sz="8" w:space="0"/>
              <w:right w:val="single" w:color="auto" w:sz="8" w:space="0"/>
            </w:tcBorders>
            <w:vAlign w:val="center"/>
          </w:tcPr>
          <w:p>
            <w:pPr>
              <w:pStyle w:val="5"/>
              <w:rPr>
                <w:rFonts w:ascii="仿宋_GB2312" w:hAnsi="仿宋_GB2312" w:eastAsia="仿宋_GB2312" w:cs="仿宋_GB2312"/>
                <w:kern w:val="0"/>
                <w:szCs w:val="21"/>
                <w:u w:val="single"/>
                <w:lang w:val="en-US" w:eastAsia="zh-CN"/>
              </w:rPr>
            </w:pPr>
            <w:r>
              <w:rPr>
                <w:rFonts w:hint="eastAsia" w:ascii="仿宋_GB2312" w:hAnsi="仿宋_GB2312" w:eastAsia="仿宋_GB2312" w:cs="仿宋_GB2312"/>
                <w:kern w:val="0"/>
                <w:szCs w:val="21"/>
                <w:lang w:val="en-US" w:eastAsia="zh-CN"/>
              </w:rPr>
              <w:t>1、投标保证金金额：</w:t>
            </w:r>
            <w:r>
              <w:rPr>
                <w:rFonts w:hint="eastAsia" w:ascii="仿宋_GB2312" w:hAnsi="仿宋_GB2312" w:eastAsia="仿宋_GB2312" w:cs="仿宋_GB2312"/>
                <w:kern w:val="0"/>
                <w:szCs w:val="21"/>
                <w:u w:val="single"/>
                <w:lang w:val="en-US" w:eastAsia="zh-CN"/>
              </w:rPr>
              <w:t xml:space="preserve"> 0 </w:t>
            </w:r>
            <w:r>
              <w:rPr>
                <w:rFonts w:hint="eastAsia" w:ascii="仿宋_GB2312" w:hAnsi="仿宋_GB2312" w:eastAsia="仿宋_GB2312" w:cs="仿宋_GB2312"/>
                <w:kern w:val="0"/>
                <w:szCs w:val="21"/>
                <w:lang w:val="en-US" w:eastAsia="zh-CN"/>
              </w:rPr>
              <w:t>元</w:t>
            </w:r>
          </w:p>
          <w:p>
            <w:pPr>
              <w:jc w:val="left"/>
              <w:rPr>
                <w:rFonts w:ascii="仿宋" w:hAnsi="仿宋" w:cs="仿宋"/>
                <w:iCs/>
                <w:szCs w:val="21"/>
                <w:u w:val="single"/>
              </w:rPr>
            </w:pPr>
            <w:r>
              <w:rPr>
                <w:rFonts w:hint="eastAsia" w:ascii="仿宋" w:hAnsi="仿宋" w:cs="仿宋"/>
                <w:iCs/>
                <w:szCs w:val="21"/>
              </w:rPr>
              <w:t>2、投标保证金到账时间：</w:t>
            </w:r>
            <w:r>
              <w:rPr>
                <w:rFonts w:hint="eastAsia" w:ascii="仿宋" w:hAnsi="仿宋" w:cs="仿宋"/>
                <w:iCs/>
                <w:szCs w:val="21"/>
                <w:u w:val="single"/>
              </w:rPr>
              <w:t xml:space="preserve">递交投标文件截止时间前 </w:t>
            </w:r>
          </w:p>
          <w:p>
            <w:pPr>
              <w:jc w:val="left"/>
              <w:rPr>
                <w:rFonts w:ascii="仿宋" w:hAnsi="仿宋" w:cs="仿宋"/>
                <w:iCs/>
                <w:kern w:val="0"/>
                <w:szCs w:val="21"/>
                <w:u w:val="single"/>
              </w:rPr>
            </w:pPr>
            <w:r>
              <w:rPr>
                <w:rFonts w:hint="eastAsia" w:ascii="仿宋" w:hAnsi="仿宋" w:cs="仿宋"/>
                <w:iCs/>
                <w:szCs w:val="21"/>
              </w:rPr>
              <w:t>3、投标保证金缴纳方式：</w:t>
            </w:r>
            <w:r>
              <w:rPr>
                <w:rFonts w:hint="eastAsia" w:ascii="仿宋" w:hAnsi="仿宋" w:cs="仿宋"/>
                <w:iCs/>
                <w:kern w:val="0"/>
                <w:szCs w:val="21"/>
              </w:rPr>
              <w:sym w:font="Wingdings 2" w:char="0052"/>
            </w:r>
            <w:r>
              <w:rPr>
                <w:rFonts w:hint="eastAsia" w:ascii="仿宋" w:hAnsi="仿宋" w:cs="仿宋"/>
                <w:iCs/>
                <w:szCs w:val="21"/>
              </w:rPr>
              <w:t xml:space="preserve">保函  □支票  </w:t>
            </w:r>
            <w:r>
              <w:rPr>
                <w:rFonts w:hint="eastAsia" w:ascii="仿宋" w:hAnsi="仿宋" w:cs="仿宋"/>
                <w:iCs/>
                <w:kern w:val="0"/>
                <w:szCs w:val="21"/>
              </w:rPr>
              <w:sym w:font="Wingdings 2" w:char="0052"/>
            </w:r>
            <w:r>
              <w:rPr>
                <w:rFonts w:hint="eastAsia" w:ascii="仿宋" w:hAnsi="仿宋" w:cs="仿宋"/>
                <w:iCs/>
                <w:szCs w:val="21"/>
              </w:rPr>
              <w:t>电汇  □其他</w:t>
            </w:r>
          </w:p>
          <w:p>
            <w:pPr>
              <w:ind w:firstLine="420" w:firstLineChars="200"/>
              <w:rPr>
                <w:rFonts w:ascii="仿宋" w:hAnsi="仿宋" w:cs="仿宋"/>
                <w:iCs/>
                <w:szCs w:val="21"/>
              </w:rPr>
            </w:pPr>
            <w:r>
              <w:rPr>
                <w:rFonts w:hint="eastAsia" w:ascii="仿宋" w:hAnsi="仿宋" w:cs="仿宋"/>
                <w:iCs/>
                <w:szCs w:val="21"/>
              </w:rPr>
              <w:t>保证金收款人银行信息：</w:t>
            </w:r>
          </w:p>
          <w:p>
            <w:pPr>
              <w:rPr>
                <w:rFonts w:ascii="仿宋" w:hAnsi="仿宋" w:cs="仿宋"/>
                <w:iCs/>
                <w:szCs w:val="21"/>
              </w:rPr>
            </w:pPr>
            <w:r>
              <w:rPr>
                <w:rFonts w:hint="eastAsia" w:ascii="仿宋" w:hAnsi="仿宋" w:cs="仿宋"/>
                <w:iCs/>
                <w:szCs w:val="21"/>
              </w:rPr>
              <w:t xml:space="preserve">    开 户 名：</w:t>
            </w:r>
            <w:r>
              <w:rPr>
                <w:rFonts w:hint="eastAsia" w:ascii="仿宋" w:hAnsi="仿宋" w:cs="仿宋"/>
                <w:iCs/>
                <w:szCs w:val="21"/>
                <w:u w:val="single"/>
              </w:rPr>
              <w:t>沈阳益铭招投标咨询有限公司</w:t>
            </w:r>
          </w:p>
          <w:p>
            <w:pPr>
              <w:rPr>
                <w:rFonts w:ascii="仿宋" w:hAnsi="仿宋" w:cs="仿宋"/>
                <w:iCs/>
                <w:szCs w:val="21"/>
              </w:rPr>
            </w:pPr>
            <w:r>
              <w:rPr>
                <w:rFonts w:hint="eastAsia" w:ascii="仿宋" w:hAnsi="仿宋" w:cs="仿宋"/>
                <w:iCs/>
                <w:szCs w:val="21"/>
              </w:rPr>
              <w:t xml:space="preserve">    开 户 行：</w:t>
            </w:r>
            <w:r>
              <w:rPr>
                <w:rFonts w:hint="eastAsia" w:ascii="仿宋" w:hAnsi="仿宋" w:cs="仿宋"/>
                <w:iCs/>
                <w:szCs w:val="21"/>
                <w:u w:val="single"/>
              </w:rPr>
              <w:t>中国建设银行股份有限公司沈阳中海支行</w:t>
            </w:r>
          </w:p>
          <w:p>
            <w:pPr>
              <w:ind w:firstLine="408"/>
              <w:rPr>
                <w:rFonts w:hint="eastAsia" w:ascii="仿宋" w:hAnsi="仿宋" w:cs="仿宋"/>
                <w:iCs/>
                <w:szCs w:val="21"/>
                <w:u w:val="single"/>
              </w:rPr>
            </w:pPr>
            <w:r>
              <w:rPr>
                <w:rFonts w:hint="eastAsia" w:ascii="仿宋" w:hAnsi="仿宋" w:cs="仿宋"/>
                <w:iCs/>
                <w:szCs w:val="21"/>
              </w:rPr>
              <w:t>账    号：</w:t>
            </w:r>
            <w:r>
              <w:rPr>
                <w:rFonts w:hint="eastAsia" w:ascii="仿宋" w:hAnsi="仿宋" w:cs="仿宋"/>
                <w:iCs/>
                <w:szCs w:val="21"/>
                <w:u w:val="single"/>
              </w:rPr>
              <w:t>2105 0138 0041 0000 0041</w:t>
            </w:r>
          </w:p>
          <w:p>
            <w:pPr>
              <w:rPr>
                <w:rFonts w:ascii="仿宋" w:hAnsi="仿宋" w:cs="仿宋"/>
                <w:iCs/>
                <w:szCs w:val="21"/>
              </w:rPr>
            </w:pPr>
            <w:r>
              <w:rPr>
                <w:rFonts w:hint="eastAsia" w:ascii="仿宋" w:hAnsi="仿宋" w:cs="仿宋"/>
                <w:iCs/>
                <w:szCs w:val="21"/>
              </w:rPr>
              <w:t>4、保证金退还方式：</w:t>
            </w:r>
            <w:r>
              <w:rPr>
                <w:rFonts w:hint="eastAsia" w:ascii="仿宋" w:hAnsi="仿宋" w:cs="仿宋"/>
                <w:iCs/>
                <w:kern w:val="0"/>
                <w:szCs w:val="21"/>
                <w:u w:val="single"/>
              </w:rPr>
              <w:t>转账或电汇</w:t>
            </w:r>
          </w:p>
          <w:p>
            <w:pPr>
              <w:rPr>
                <w:rFonts w:ascii="仿宋" w:hAnsi="仿宋" w:cs="仿宋"/>
                <w:iCs/>
                <w:szCs w:val="21"/>
              </w:rPr>
            </w:pPr>
            <w:r>
              <w:rPr>
                <w:rFonts w:hint="eastAsia" w:ascii="仿宋" w:hAnsi="仿宋" w:cs="仿宋"/>
                <w:iCs/>
                <w:szCs w:val="21"/>
              </w:rPr>
              <w:t>5、保证金退还咨询电话：</w:t>
            </w:r>
            <w:r>
              <w:rPr>
                <w:rFonts w:hint="eastAsia" w:ascii="仿宋" w:hAnsi="仿宋" w:cs="仿宋"/>
                <w:iCs/>
                <w:kern w:val="0"/>
                <w:szCs w:val="21"/>
                <w:u w:val="single"/>
              </w:rPr>
              <w:t>0</w:t>
            </w:r>
            <w:r>
              <w:rPr>
                <w:rFonts w:ascii="仿宋" w:hAnsi="仿宋" w:cs="仿宋"/>
                <w:iCs/>
                <w:kern w:val="0"/>
                <w:szCs w:val="21"/>
                <w:u w:val="single"/>
              </w:rPr>
              <w:t>24-62516636</w:t>
            </w:r>
          </w:p>
          <w:p>
            <w:pPr>
              <w:rPr>
                <w:rFonts w:ascii="仿宋" w:hAnsi="仿宋" w:cs="仿宋"/>
                <w:iCs/>
                <w:szCs w:val="21"/>
                <w:u w:val="single"/>
              </w:rPr>
            </w:pPr>
            <w:r>
              <w:rPr>
                <w:rFonts w:hint="eastAsia" w:ascii="仿宋" w:hAnsi="仿宋" w:cs="仿宋"/>
                <w:iCs/>
                <w:szCs w:val="21"/>
              </w:rPr>
              <w:t>6、其它：</w:t>
            </w:r>
            <w:r>
              <w:rPr>
                <w:rFonts w:hint="eastAsia" w:ascii="仿宋" w:hAnsi="仿宋" w:cs="仿宋"/>
                <w:iCs/>
                <w:szCs w:val="21"/>
                <w:u w:val="single"/>
              </w:rPr>
              <w:t>汇款信息备注“/”</w:t>
            </w:r>
          </w:p>
          <w:p>
            <w:pPr>
              <w:rPr>
                <w:rFonts w:ascii="仿宋_GB2312" w:hAnsi="仿宋_GB2312" w:eastAsia="仿宋_GB2312" w:cs="仿宋_GB2312"/>
                <w:szCs w:val="21"/>
              </w:rPr>
            </w:pPr>
            <w:r>
              <w:rPr>
                <w:rFonts w:hint="eastAsia" w:ascii="仿宋_GB2312" w:hAnsi="仿宋_GB2312" w:eastAsia="仿宋_GB2312" w:cs="仿宋_GB2312"/>
                <w:b/>
                <w:bCs/>
                <w:szCs w:val="21"/>
              </w:rPr>
              <w:t>（注：财政部门鼓励采用保函的方式递交投标保证金，具体办理流程参阅辽宁政府采购网）</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8" w:space="0"/>
              <w:bottom w:val="single" w:color="auto" w:sz="8"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15.1</w:t>
            </w:r>
          </w:p>
        </w:tc>
        <w:tc>
          <w:tcPr>
            <w:tcW w:w="1714" w:type="dxa"/>
            <w:tcBorders>
              <w:top w:val="single" w:color="auto" w:sz="4" w:space="0"/>
              <w:left w:val="single" w:color="auto" w:sz="4" w:space="0"/>
              <w:bottom w:val="single" w:color="auto" w:sz="8" w:space="0"/>
              <w:right w:val="single" w:color="auto" w:sz="8"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投标有效期</w:t>
            </w:r>
          </w:p>
        </w:tc>
        <w:tc>
          <w:tcPr>
            <w:tcW w:w="6285" w:type="dxa"/>
            <w:tcBorders>
              <w:top w:val="single" w:color="auto" w:sz="4" w:space="0"/>
              <w:left w:val="nil"/>
              <w:bottom w:val="single" w:color="auto" w:sz="8" w:space="0"/>
              <w:right w:val="single" w:color="auto" w:sz="8" w:space="0"/>
            </w:tcBorders>
            <w:vAlign w:val="center"/>
          </w:tcPr>
          <w:p>
            <w:pPr>
              <w:pStyle w:val="5"/>
              <w:rPr>
                <w:rFonts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u w:val="single"/>
                <w:lang w:val="en-US" w:eastAsia="zh-CN"/>
              </w:rPr>
              <w:t xml:space="preserve">  90  </w:t>
            </w:r>
            <w:r>
              <w:rPr>
                <w:rFonts w:hint="eastAsia" w:ascii="仿宋_GB2312" w:hAnsi="仿宋_GB2312" w:eastAsia="仿宋_GB2312" w:cs="仿宋_GB2312"/>
                <w:kern w:val="0"/>
                <w:szCs w:val="21"/>
                <w:lang w:val="en-US" w:eastAsia="zh-CN"/>
              </w:rPr>
              <w:t>日历日</w:t>
            </w:r>
          </w:p>
        </w:tc>
      </w:tr>
      <w:tr>
        <w:tblPrEx>
          <w:tblCellMar>
            <w:top w:w="0" w:type="dxa"/>
            <w:left w:w="108" w:type="dxa"/>
            <w:bottom w:w="0" w:type="dxa"/>
            <w:right w:w="108" w:type="dxa"/>
          </w:tblCellMar>
        </w:tblPrEx>
        <w:trPr>
          <w:trHeight w:val="642" w:hRule="atLeast"/>
        </w:trPr>
        <w:tc>
          <w:tcPr>
            <w:tcW w:w="761"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16.1</w:t>
            </w:r>
          </w:p>
        </w:tc>
        <w:tc>
          <w:tcPr>
            <w:tcW w:w="1714" w:type="dxa"/>
            <w:tcBorders>
              <w:top w:val="nil"/>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szCs w:val="21"/>
              </w:rPr>
              <w:t>投标文件及电子文档份数</w:t>
            </w:r>
          </w:p>
        </w:tc>
        <w:tc>
          <w:tcPr>
            <w:tcW w:w="6285" w:type="dxa"/>
            <w:tcBorders>
              <w:top w:val="nil"/>
              <w:left w:val="nil"/>
              <w:bottom w:val="single" w:color="auto" w:sz="4" w:space="0"/>
              <w:right w:val="single" w:color="auto" w:sz="8" w:space="0"/>
            </w:tcBorders>
            <w:vAlign w:val="center"/>
          </w:tcPr>
          <w:p>
            <w:pPr>
              <w:widowControl/>
              <w:rPr>
                <w:rFonts w:hint="eastAsia" w:ascii="仿宋_GB2312" w:hAnsi="仿宋_GB2312" w:eastAsia="仿宋_GB2312" w:cs="仿宋_GB2312"/>
                <w:szCs w:val="21"/>
              </w:rPr>
            </w:pPr>
            <w:r>
              <w:rPr>
                <w:rFonts w:hint="eastAsia" w:ascii="仿宋_GB2312" w:hAnsi="仿宋_GB2312" w:eastAsia="仿宋_GB2312" w:cs="仿宋_GB2312"/>
                <w:szCs w:val="21"/>
              </w:rPr>
              <w:t>1、电子投标（响应）文件在辽宁政府采购网提交；</w:t>
            </w:r>
          </w:p>
          <w:p>
            <w:pPr>
              <w:widowControl/>
              <w:rPr>
                <w:rFonts w:hint="eastAsia" w:ascii="仿宋_GB2312" w:hAnsi="仿宋_GB2312" w:eastAsia="仿宋_GB2312" w:cs="仿宋_GB2312"/>
                <w:szCs w:val="21"/>
              </w:rPr>
            </w:pPr>
            <w:r>
              <w:rPr>
                <w:rFonts w:hint="eastAsia" w:ascii="仿宋_GB2312" w:hAnsi="仿宋_GB2312" w:eastAsia="仿宋_GB2312" w:cs="仿宋_GB2312"/>
                <w:szCs w:val="21"/>
              </w:rPr>
              <w:t>2、电子备份文件以电子邮件形式发送至lnsyymzx@163.com；</w:t>
            </w:r>
          </w:p>
          <w:p>
            <w:pPr>
              <w:widowControl/>
              <w:rPr>
                <w:rFonts w:ascii="仿宋_GB2312" w:hAnsi="仿宋_GB2312" w:eastAsia="仿宋_GB2312" w:cs="仿宋_GB2312"/>
                <w:kern w:val="0"/>
                <w:szCs w:val="21"/>
              </w:rPr>
            </w:pPr>
            <w:r>
              <w:rPr>
                <w:rFonts w:hint="eastAsia" w:ascii="仿宋_GB2312" w:hAnsi="仿宋_GB2312" w:eastAsia="仿宋_GB2312" w:cs="仿宋_GB2312"/>
                <w:szCs w:val="21"/>
              </w:rPr>
              <w:t>3、成交（中标）结果发出后签订合同前，成交供应商（中标人）应至少提供3份纸质文件。</w:t>
            </w:r>
          </w:p>
        </w:tc>
      </w:tr>
      <w:tr>
        <w:tblPrEx>
          <w:tblCellMar>
            <w:top w:w="0" w:type="dxa"/>
            <w:left w:w="108" w:type="dxa"/>
            <w:bottom w:w="0" w:type="dxa"/>
            <w:right w:w="108" w:type="dxa"/>
          </w:tblCellMar>
        </w:tblPrEx>
        <w:trPr>
          <w:trHeight w:val="632" w:hRule="atLeast"/>
        </w:trPr>
        <w:tc>
          <w:tcPr>
            <w:tcW w:w="761"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18.1</w:t>
            </w:r>
          </w:p>
        </w:tc>
        <w:tc>
          <w:tcPr>
            <w:tcW w:w="1714" w:type="dxa"/>
            <w:tcBorders>
              <w:top w:val="nil"/>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递交投标文件截止时间、地点</w:t>
            </w:r>
          </w:p>
        </w:tc>
        <w:tc>
          <w:tcPr>
            <w:tcW w:w="6285" w:type="dxa"/>
            <w:tcBorders>
              <w:top w:val="nil"/>
              <w:left w:val="nil"/>
              <w:bottom w:val="single" w:color="auto" w:sz="4" w:space="0"/>
              <w:right w:val="single" w:color="auto" w:sz="8" w:space="0"/>
            </w:tcBorders>
            <w:vAlign w:val="center"/>
          </w:tcPr>
          <w:p>
            <w:pPr>
              <w:widowControl/>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详见招标公告，以招标公告规定时间、地点为准。</w:t>
            </w:r>
          </w:p>
        </w:tc>
      </w:tr>
      <w:tr>
        <w:tblPrEx>
          <w:tblCellMar>
            <w:top w:w="0" w:type="dxa"/>
            <w:left w:w="108" w:type="dxa"/>
            <w:bottom w:w="0" w:type="dxa"/>
            <w:right w:w="108" w:type="dxa"/>
          </w:tblCellMar>
        </w:tblPrEx>
        <w:trPr>
          <w:trHeight w:val="614" w:hRule="atLeast"/>
        </w:trPr>
        <w:tc>
          <w:tcPr>
            <w:tcW w:w="761"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20.1</w:t>
            </w:r>
          </w:p>
        </w:tc>
        <w:tc>
          <w:tcPr>
            <w:tcW w:w="1714" w:type="dxa"/>
            <w:tcBorders>
              <w:top w:val="nil"/>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开标时间、地点</w:t>
            </w:r>
          </w:p>
        </w:tc>
        <w:tc>
          <w:tcPr>
            <w:tcW w:w="6285" w:type="dxa"/>
            <w:tcBorders>
              <w:top w:val="nil"/>
              <w:left w:val="nil"/>
              <w:bottom w:val="single" w:color="auto" w:sz="4" w:space="0"/>
              <w:right w:val="single" w:color="auto" w:sz="8" w:space="0"/>
            </w:tcBorders>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详见招标公告，以招标公告规定时间、地点为准。</w:t>
            </w:r>
          </w:p>
        </w:tc>
      </w:tr>
      <w:tr>
        <w:tblPrEx>
          <w:tblCellMar>
            <w:top w:w="0" w:type="dxa"/>
            <w:left w:w="108" w:type="dxa"/>
            <w:bottom w:w="0" w:type="dxa"/>
            <w:right w:w="108" w:type="dxa"/>
          </w:tblCellMar>
        </w:tblPrEx>
        <w:trPr>
          <w:trHeight w:val="614" w:hRule="atLeast"/>
        </w:trPr>
        <w:tc>
          <w:tcPr>
            <w:tcW w:w="761"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21</w:t>
            </w:r>
          </w:p>
        </w:tc>
        <w:tc>
          <w:tcPr>
            <w:tcW w:w="1714" w:type="dxa"/>
            <w:tcBorders>
              <w:top w:val="nil"/>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评标委员会组成</w:t>
            </w:r>
          </w:p>
        </w:tc>
        <w:tc>
          <w:tcPr>
            <w:tcW w:w="6285" w:type="dxa"/>
            <w:tcBorders>
              <w:top w:val="nil"/>
              <w:left w:val="nil"/>
              <w:bottom w:val="single" w:color="auto" w:sz="4" w:space="0"/>
              <w:right w:val="single" w:color="auto" w:sz="8" w:space="0"/>
            </w:tcBorders>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szCs w:val="21"/>
              </w:rPr>
              <w:t>评标委员会由采购人代表</w:t>
            </w:r>
            <w:r>
              <w:rPr>
                <w:rFonts w:hint="eastAsia" w:ascii="仿宋" w:hAnsi="仿宋" w:cs="仿宋"/>
                <w:szCs w:val="21"/>
                <w:u w:val="single"/>
              </w:rPr>
              <w:t>不多于1/3</w:t>
            </w:r>
            <w:r>
              <w:rPr>
                <w:rFonts w:hint="eastAsia" w:ascii="仿宋_GB2312" w:hAnsi="仿宋_GB2312" w:eastAsia="仿宋_GB2312" w:cs="仿宋_GB2312"/>
                <w:szCs w:val="21"/>
              </w:rPr>
              <w:t>人，评审专家</w:t>
            </w:r>
            <w:r>
              <w:rPr>
                <w:rFonts w:hint="eastAsia" w:ascii="仿宋" w:hAnsi="仿宋" w:cs="仿宋"/>
                <w:szCs w:val="21"/>
                <w:u w:val="single"/>
              </w:rPr>
              <w:t>不少于2/3</w:t>
            </w:r>
            <w:r>
              <w:rPr>
                <w:rFonts w:hint="eastAsia" w:ascii="仿宋_GB2312" w:hAnsi="仿宋_GB2312" w:eastAsia="仿宋_GB2312" w:cs="仿宋_GB2312"/>
                <w:szCs w:val="21"/>
              </w:rPr>
              <w:t>人组成，共</w:t>
            </w:r>
            <w:r>
              <w:rPr>
                <w:rFonts w:hint="eastAsia" w:ascii="仿宋_GB2312" w:hAnsi="仿宋_GB2312" w:eastAsia="仿宋_GB2312" w:cs="仿宋_GB2312"/>
                <w:szCs w:val="21"/>
                <w:u w:val="single"/>
              </w:rPr>
              <w:t xml:space="preserve"> </w:t>
            </w:r>
            <w:r>
              <w:rPr>
                <w:rFonts w:ascii="仿宋_GB2312" w:hAnsi="仿宋_GB2312" w:eastAsia="仿宋_GB2312" w:cs="仿宋_GB2312"/>
                <w:szCs w:val="21"/>
                <w:u w:val="single"/>
              </w:rPr>
              <w:t>5</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人。 </w:t>
            </w:r>
          </w:p>
        </w:tc>
      </w:tr>
      <w:tr>
        <w:tblPrEx>
          <w:tblCellMar>
            <w:top w:w="0" w:type="dxa"/>
            <w:left w:w="108" w:type="dxa"/>
            <w:bottom w:w="0" w:type="dxa"/>
            <w:right w:w="108" w:type="dxa"/>
          </w:tblCellMar>
        </w:tblPrEx>
        <w:trPr>
          <w:trHeight w:val="2186"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25.1</w:t>
            </w:r>
          </w:p>
        </w:tc>
        <w:tc>
          <w:tcPr>
            <w:tcW w:w="1714"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szCs w:val="21"/>
              </w:rPr>
            </w:pPr>
            <w:r>
              <w:rPr>
                <w:rFonts w:hint="eastAsia" w:ascii="仿宋_GB2312" w:hAnsi="仿宋_GB2312" w:eastAsia="仿宋_GB2312" w:cs="仿宋_GB2312"/>
                <w:szCs w:val="21"/>
              </w:rPr>
              <w:t>样品的评审方法以及评审标准</w:t>
            </w:r>
          </w:p>
          <w:p>
            <w:pPr>
              <w:shd w:val="clear" w:color="auto" w:fill="FFFFFF"/>
              <w:jc w:val="center"/>
              <w:rPr>
                <w:rFonts w:ascii="仿宋_GB2312" w:hAnsi="仿宋_GB2312" w:eastAsia="仿宋_GB2312" w:cs="仿宋_GB2312"/>
                <w:szCs w:val="21"/>
              </w:rPr>
            </w:pPr>
            <w:r>
              <w:rPr>
                <w:rFonts w:hint="eastAsia" w:ascii="仿宋_GB2312" w:hAnsi="仿宋_GB2312" w:eastAsia="仿宋_GB2312" w:cs="仿宋_GB2312"/>
                <w:szCs w:val="21"/>
              </w:rPr>
              <w:t>演示的评审方法及评审标准</w:t>
            </w:r>
          </w:p>
        </w:tc>
        <w:tc>
          <w:tcPr>
            <w:tcW w:w="6285"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bCs/>
                <w:kern w:val="0"/>
                <w:szCs w:val="21"/>
              </w:rPr>
              <w:t>样品：</w:t>
            </w: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t>1、样品评审方法：</w:t>
            </w:r>
            <w:r>
              <w:rPr>
                <w:rFonts w:hint="eastAsia" w:ascii="仿宋_GB2312" w:hAnsi="仿宋_GB2312" w:eastAsia="仿宋_GB2312" w:cs="仿宋_GB2312"/>
                <w:kern w:val="0"/>
                <w:szCs w:val="21"/>
                <w:u w:val="single"/>
              </w:rPr>
              <w:t xml:space="preserve">              </w:t>
            </w:r>
          </w:p>
          <w:p>
            <w:pPr>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2、样品评审标准：</w:t>
            </w:r>
            <w:r>
              <w:rPr>
                <w:rFonts w:hint="eastAsia" w:ascii="仿宋_GB2312" w:hAnsi="仿宋_GB2312" w:eastAsia="仿宋_GB2312" w:cs="仿宋_GB2312"/>
                <w:kern w:val="0"/>
                <w:szCs w:val="21"/>
                <w:u w:val="single"/>
              </w:rPr>
              <w:t xml:space="preserve">              </w:t>
            </w:r>
          </w:p>
          <w:p>
            <w:pPr>
              <w:rPr>
                <w:rFonts w:ascii="仿宋_GB2312" w:hAnsi="仿宋_GB2312" w:eastAsia="仿宋_GB2312" w:cs="仿宋_GB2312"/>
                <w:kern w:val="0"/>
                <w:szCs w:val="21"/>
                <w:u w:val="single"/>
              </w:rPr>
            </w:pP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演示：</w:t>
            </w: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t>1、演示评审方法：</w:t>
            </w:r>
            <w:r>
              <w:rPr>
                <w:rFonts w:hint="eastAsia" w:ascii="仿宋_GB2312" w:hAnsi="仿宋_GB2312" w:eastAsia="仿宋_GB2312" w:cs="仿宋_GB2312"/>
                <w:kern w:val="0"/>
                <w:szCs w:val="21"/>
                <w:u w:val="single"/>
              </w:rPr>
              <w:t xml:space="preserve">              </w:t>
            </w:r>
          </w:p>
          <w:p>
            <w:pPr>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2、演示评审标准：</w:t>
            </w:r>
            <w:r>
              <w:rPr>
                <w:rFonts w:hint="eastAsia" w:ascii="仿宋_GB2312" w:hAnsi="仿宋_GB2312" w:eastAsia="仿宋_GB2312" w:cs="仿宋_GB2312"/>
                <w:kern w:val="0"/>
                <w:szCs w:val="21"/>
                <w:u w:val="single"/>
              </w:rPr>
              <w:t xml:space="preserve">              </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27.2</w:t>
            </w:r>
          </w:p>
        </w:tc>
        <w:tc>
          <w:tcPr>
            <w:tcW w:w="17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评标办法</w:t>
            </w:r>
          </w:p>
        </w:tc>
        <w:tc>
          <w:tcPr>
            <w:tcW w:w="6285"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Cs w:val="21"/>
              </w:rPr>
            </w:pPr>
            <w:r>
              <w:rPr>
                <w:rFonts w:hint="eastAsia" w:ascii="仿宋_GB2312" w:hAnsi="仿宋_GB2312" w:eastAsia="仿宋_GB2312" w:cs="仿宋_GB2312"/>
                <w:szCs w:val="21"/>
              </w:rPr>
              <w:sym w:font="Wingdings 2" w:char="0052"/>
            </w:r>
            <w:r>
              <w:rPr>
                <w:rFonts w:hint="eastAsia" w:ascii="仿宋_GB2312" w:hAnsi="仿宋_GB2312" w:eastAsia="仿宋_GB2312" w:cs="仿宋_GB2312"/>
                <w:szCs w:val="21"/>
              </w:rPr>
              <w:t>综合评分法</w:t>
            </w:r>
          </w:p>
          <w:p>
            <w:pPr>
              <w:widowControl/>
              <w:rPr>
                <w:rFonts w:ascii="仿宋_GB2312" w:hAnsi="仿宋_GB2312" w:eastAsia="仿宋_GB2312" w:cs="仿宋_GB2312"/>
                <w:szCs w:val="21"/>
              </w:rPr>
            </w:pPr>
            <w:r>
              <w:rPr>
                <w:rFonts w:hint="eastAsia" w:ascii="仿宋_GB2312" w:hAnsi="仿宋_GB2312" w:eastAsia="仿宋_GB2312" w:cs="仿宋_GB2312"/>
                <w:szCs w:val="21"/>
              </w:rPr>
              <w:sym w:font="Wingdings 2" w:char="00A3"/>
            </w:r>
            <w:r>
              <w:rPr>
                <w:rFonts w:hint="eastAsia" w:ascii="仿宋_GB2312" w:hAnsi="仿宋_GB2312" w:eastAsia="仿宋_GB2312" w:cs="仿宋_GB2312"/>
                <w:szCs w:val="21"/>
              </w:rPr>
              <w:t xml:space="preserve">最低评标价法 </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29.2</w:t>
            </w:r>
          </w:p>
        </w:tc>
        <w:tc>
          <w:tcPr>
            <w:tcW w:w="17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推荐中标候选人的数量</w:t>
            </w:r>
          </w:p>
        </w:tc>
        <w:tc>
          <w:tcPr>
            <w:tcW w:w="6285"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u w:val="single"/>
              </w:rPr>
              <w:t xml:space="preserve">  </w:t>
            </w:r>
            <w:r>
              <w:rPr>
                <w:rFonts w:ascii="仿宋_GB2312" w:hAnsi="仿宋_GB2312" w:eastAsia="仿宋_GB2312" w:cs="仿宋_GB2312"/>
                <w:kern w:val="0"/>
                <w:szCs w:val="21"/>
                <w:u w:val="single"/>
              </w:rPr>
              <w:t>3</w:t>
            </w:r>
            <w:r>
              <w:rPr>
                <w:rFonts w:hint="eastAsia" w:ascii="仿宋_GB2312" w:hAnsi="仿宋_GB2312" w:eastAsia="仿宋_GB2312" w:cs="仿宋_GB2312"/>
                <w:kern w:val="0"/>
                <w:szCs w:val="21"/>
                <w:u w:val="single"/>
              </w:rPr>
              <w:t xml:space="preserve">  </w:t>
            </w:r>
          </w:p>
        </w:tc>
      </w:tr>
      <w:tr>
        <w:tblPrEx>
          <w:tblCellMar>
            <w:top w:w="0" w:type="dxa"/>
            <w:left w:w="108" w:type="dxa"/>
            <w:bottom w:w="0" w:type="dxa"/>
            <w:right w:w="108" w:type="dxa"/>
          </w:tblCellMar>
        </w:tblPrEx>
        <w:trPr>
          <w:trHeight w:val="943"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31</w:t>
            </w:r>
          </w:p>
        </w:tc>
        <w:tc>
          <w:tcPr>
            <w:tcW w:w="17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确定中标人的方式</w:t>
            </w:r>
          </w:p>
        </w:tc>
        <w:tc>
          <w:tcPr>
            <w:tcW w:w="6285"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中标人数量：</w:t>
            </w:r>
            <w:r>
              <w:rPr>
                <w:rFonts w:hint="eastAsia" w:ascii="仿宋_GB2312" w:hAnsi="仿宋_GB2312" w:eastAsia="仿宋_GB2312" w:cs="仿宋_GB2312"/>
                <w:kern w:val="0"/>
                <w:szCs w:val="21"/>
                <w:u w:val="single"/>
              </w:rPr>
              <w:t xml:space="preserve">  </w:t>
            </w:r>
            <w:r>
              <w:rPr>
                <w:rFonts w:ascii="仿宋_GB2312" w:hAnsi="仿宋_GB2312" w:eastAsia="仿宋_GB2312" w:cs="仿宋_GB2312"/>
                <w:kern w:val="0"/>
                <w:szCs w:val="21"/>
                <w:u w:val="single"/>
              </w:rPr>
              <w:t>1</w:t>
            </w:r>
            <w:r>
              <w:rPr>
                <w:rFonts w:hint="eastAsia" w:ascii="仿宋_GB2312" w:hAnsi="仿宋_GB2312" w:eastAsia="仿宋_GB2312" w:cs="仿宋_GB2312"/>
                <w:kern w:val="0"/>
                <w:szCs w:val="21"/>
                <w:u w:val="single"/>
              </w:rPr>
              <w:t xml:space="preserve">  </w:t>
            </w:r>
          </w:p>
          <w:p>
            <w:pPr>
              <w:widowControl/>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sym w:font="Wingdings 2" w:char="0052"/>
            </w:r>
            <w:r>
              <w:rPr>
                <w:rFonts w:hint="eastAsia" w:ascii="仿宋_GB2312" w:hAnsi="仿宋_GB2312" w:eastAsia="仿宋_GB2312" w:cs="仿宋_GB2312"/>
                <w:kern w:val="0"/>
                <w:szCs w:val="21"/>
              </w:rPr>
              <w:t>采购人委托评标委员会直接确定中标人</w:t>
            </w:r>
          </w:p>
          <w:p>
            <w:pPr>
              <w:widowControl/>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采购人确定中标人</w:t>
            </w:r>
          </w:p>
        </w:tc>
      </w:tr>
      <w:tr>
        <w:tblPrEx>
          <w:tblCellMar>
            <w:top w:w="0" w:type="dxa"/>
            <w:left w:w="108" w:type="dxa"/>
            <w:bottom w:w="0" w:type="dxa"/>
            <w:right w:w="108" w:type="dxa"/>
          </w:tblCellMar>
        </w:tblPrEx>
        <w:trPr>
          <w:trHeight w:val="3119"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35.1</w:t>
            </w:r>
          </w:p>
        </w:tc>
        <w:tc>
          <w:tcPr>
            <w:tcW w:w="1714"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kern w:val="0"/>
                <w:szCs w:val="21"/>
              </w:rPr>
            </w:pPr>
            <w:r>
              <w:rPr>
                <w:rFonts w:hint="eastAsia" w:ascii="仿宋_GB2312" w:hAnsi="仿宋_GB2312" w:eastAsia="仿宋_GB2312" w:cs="仿宋_GB2312"/>
                <w:szCs w:val="21"/>
              </w:rPr>
              <w:t>履约保证金</w:t>
            </w:r>
          </w:p>
        </w:tc>
        <w:tc>
          <w:tcPr>
            <w:tcW w:w="6285" w:type="dxa"/>
            <w:tcBorders>
              <w:top w:val="single" w:color="auto" w:sz="4" w:space="0"/>
              <w:left w:val="single" w:color="auto" w:sz="4" w:space="0"/>
              <w:bottom w:val="single" w:color="auto" w:sz="4" w:space="0"/>
              <w:right w:val="single" w:color="auto" w:sz="4" w:space="0"/>
            </w:tcBorders>
            <w:vAlign w:val="center"/>
          </w:tcPr>
          <w:p>
            <w:pPr>
              <w:shd w:val="clear" w:color="auto" w:fill="FFFFFF"/>
              <w:jc w:val="left"/>
              <w:rPr>
                <w:rFonts w:ascii="仿宋_GB2312" w:hAnsi="仿宋_GB2312" w:eastAsia="仿宋_GB2312" w:cs="仿宋_GB2312"/>
                <w:szCs w:val="21"/>
              </w:rPr>
            </w:pPr>
            <w:r>
              <w:rPr>
                <w:rFonts w:hint="eastAsia" w:ascii="仿宋_GB2312" w:hAnsi="仿宋_GB2312" w:eastAsia="仿宋_GB2312" w:cs="仿宋_GB2312"/>
                <w:szCs w:val="21"/>
              </w:rPr>
              <w:sym w:font="Wingdings 2" w:char="0052"/>
            </w:r>
            <w:r>
              <w:rPr>
                <w:rFonts w:hint="eastAsia" w:ascii="仿宋_GB2312" w:hAnsi="仿宋_GB2312" w:eastAsia="仿宋_GB2312" w:cs="仿宋_GB2312"/>
                <w:szCs w:val="21"/>
              </w:rPr>
              <w:t>本项目不收取履约保证金</w:t>
            </w:r>
          </w:p>
          <w:p>
            <w:pPr>
              <w:shd w:val="clear" w:color="auto" w:fill="FFFFFF"/>
              <w:jc w:val="left"/>
              <w:rPr>
                <w:rFonts w:ascii="仿宋_GB2312" w:hAnsi="仿宋_GB2312" w:eastAsia="仿宋_GB2312" w:cs="仿宋_GB2312"/>
                <w:szCs w:val="21"/>
              </w:rPr>
            </w:pPr>
            <w:r>
              <w:rPr>
                <w:rFonts w:hint="eastAsia" w:ascii="仿宋_GB2312" w:hAnsi="仿宋_GB2312" w:eastAsia="仿宋_GB2312" w:cs="仿宋_GB2312"/>
                <w:szCs w:val="21"/>
              </w:rPr>
              <w:sym w:font="Wingdings 2" w:char="00A3"/>
            </w:r>
            <w:r>
              <w:rPr>
                <w:rFonts w:hint="eastAsia" w:ascii="仿宋_GB2312" w:hAnsi="仿宋_GB2312" w:eastAsia="仿宋_GB2312" w:cs="仿宋_GB2312"/>
                <w:szCs w:val="21"/>
              </w:rPr>
              <w:t>本项目收取履约保证金</w:t>
            </w:r>
          </w:p>
          <w:p>
            <w:pPr>
              <w:shd w:val="clear" w:color="auto" w:fill="FFFFFF"/>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履约保证金金额：</w:t>
            </w:r>
            <w:r>
              <w:rPr>
                <w:rFonts w:hint="eastAsia" w:ascii="仿宋_GB2312" w:hAnsi="仿宋_GB2312" w:eastAsia="仿宋_GB2312" w:cs="仿宋_GB2312"/>
                <w:kern w:val="0"/>
                <w:szCs w:val="21"/>
                <w:u w:val="single"/>
              </w:rPr>
              <w:t xml:space="preserve">                 </w:t>
            </w:r>
          </w:p>
          <w:p>
            <w:pPr>
              <w:shd w:val="clear" w:color="auto" w:fill="FFFFFF"/>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履约保证金递交时间：</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szCs w:val="21"/>
              </w:rPr>
              <w:t xml:space="preserve"> </w:t>
            </w:r>
          </w:p>
          <w:p>
            <w:pPr>
              <w:shd w:val="clear" w:color="auto" w:fill="FFFFFF"/>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履约保证金递交方式：□保函   □支票  □电汇</w:t>
            </w:r>
          </w:p>
          <w:p>
            <w:pPr>
              <w:shd w:val="clear" w:color="auto" w:fill="FFFFFF"/>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账户信息：</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开 户 名： </w:t>
            </w:r>
            <w:r>
              <w:rPr>
                <w:rFonts w:hint="eastAsia" w:ascii="仿宋_GB2312" w:hAnsi="仿宋_GB2312" w:eastAsia="仿宋_GB2312" w:cs="仿宋_GB2312"/>
                <w:kern w:val="0"/>
                <w:szCs w:val="21"/>
                <w:u w:val="single"/>
              </w:rPr>
              <w:t xml:space="preserve">                </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开 户 行： </w:t>
            </w:r>
            <w:r>
              <w:rPr>
                <w:rFonts w:hint="eastAsia" w:ascii="仿宋_GB2312" w:hAnsi="仿宋_GB2312" w:eastAsia="仿宋_GB2312" w:cs="仿宋_GB2312"/>
                <w:kern w:val="0"/>
                <w:szCs w:val="21"/>
                <w:u w:val="single"/>
              </w:rPr>
              <w:t xml:space="preserve">                </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账    号： </w:t>
            </w:r>
            <w:r>
              <w:rPr>
                <w:rFonts w:hint="eastAsia" w:ascii="仿宋_GB2312" w:hAnsi="仿宋_GB2312" w:eastAsia="仿宋_GB2312" w:cs="仿宋_GB2312"/>
                <w:kern w:val="0"/>
                <w:szCs w:val="21"/>
                <w:u w:val="single"/>
              </w:rPr>
              <w:t xml:space="preserve">                </w:t>
            </w:r>
          </w:p>
          <w:p>
            <w:pPr>
              <w:shd w:val="clear" w:color="auto" w:fill="FFFFFF"/>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履约保证金退还时间及规定：</w:t>
            </w:r>
            <w:r>
              <w:rPr>
                <w:rFonts w:hint="eastAsia" w:ascii="仿宋_GB2312" w:hAnsi="仿宋_GB2312" w:eastAsia="仿宋_GB2312" w:cs="仿宋_GB2312"/>
                <w:kern w:val="0"/>
                <w:szCs w:val="21"/>
                <w:u w:val="single"/>
              </w:rPr>
              <w:t xml:space="preserve">   </w:t>
            </w:r>
          </w:p>
          <w:p>
            <w:pPr>
              <w:shd w:val="clear" w:color="auto" w:fill="FFFFFF"/>
              <w:jc w:val="left"/>
              <w:rPr>
                <w:rFonts w:ascii="仿宋_GB2312" w:hAnsi="仿宋_GB2312" w:eastAsia="仿宋_GB2312" w:cs="仿宋_GB2312"/>
                <w:kern w:val="0"/>
                <w:szCs w:val="21"/>
              </w:rPr>
            </w:pPr>
            <w:r>
              <w:rPr>
                <w:rFonts w:hint="eastAsia" w:ascii="仿宋_GB2312" w:hAnsi="仿宋_GB2312" w:eastAsia="仿宋_GB2312" w:cs="仿宋_GB2312"/>
                <w:b/>
                <w:bCs/>
                <w:szCs w:val="21"/>
              </w:rPr>
              <w:t>（注：财政部门鼓励采用保函的方式递交履约保证金，具体办理流程参阅辽宁政府采购网）</w:t>
            </w:r>
          </w:p>
        </w:tc>
      </w:tr>
      <w:tr>
        <w:tblPrEx>
          <w:tblCellMar>
            <w:top w:w="0" w:type="dxa"/>
            <w:left w:w="108" w:type="dxa"/>
            <w:bottom w:w="0" w:type="dxa"/>
            <w:right w:w="108" w:type="dxa"/>
          </w:tblCellMar>
        </w:tblPrEx>
        <w:trPr>
          <w:trHeight w:val="1254" w:hRule="atLeast"/>
        </w:trPr>
        <w:tc>
          <w:tcPr>
            <w:tcW w:w="761" w:type="dxa"/>
            <w:tcBorders>
              <w:top w:val="nil"/>
              <w:left w:val="single" w:color="auto" w:sz="8" w:space="0"/>
              <w:bottom w:val="single" w:color="auto" w:sz="8"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36</w:t>
            </w:r>
          </w:p>
        </w:tc>
        <w:tc>
          <w:tcPr>
            <w:tcW w:w="1714" w:type="dxa"/>
            <w:tcBorders>
              <w:top w:val="nil"/>
              <w:left w:val="single" w:color="auto" w:sz="4" w:space="0"/>
              <w:bottom w:val="single" w:color="auto" w:sz="8" w:space="0"/>
              <w:right w:val="single" w:color="auto" w:sz="8"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采购代理服务费</w:t>
            </w:r>
          </w:p>
        </w:tc>
        <w:tc>
          <w:tcPr>
            <w:tcW w:w="6285" w:type="dxa"/>
            <w:tcBorders>
              <w:top w:val="nil"/>
              <w:left w:val="nil"/>
              <w:bottom w:val="single" w:color="auto" w:sz="8" w:space="0"/>
              <w:right w:val="single" w:color="auto" w:sz="8" w:space="0"/>
            </w:tcBorders>
            <w:vAlign w:val="center"/>
          </w:tcPr>
          <w:p>
            <w:pPr>
              <w:shd w:val="clear" w:color="auto" w:fill="FFFFFF"/>
              <w:jc w:val="left"/>
              <w:rPr>
                <w:rFonts w:ascii="仿宋_GB2312" w:hAnsi="仿宋_GB2312" w:eastAsia="仿宋_GB2312" w:cs="仿宋_GB2312"/>
                <w:szCs w:val="21"/>
              </w:rPr>
            </w:pPr>
            <w:r>
              <w:rPr>
                <w:rFonts w:hint="eastAsia" w:ascii="仿宋_GB2312" w:hAnsi="仿宋_GB2312" w:eastAsia="仿宋_GB2312" w:cs="仿宋_GB2312"/>
                <w:szCs w:val="21"/>
              </w:rPr>
              <w:sym w:font="Wingdings 2" w:char="00A3"/>
            </w:r>
            <w:r>
              <w:rPr>
                <w:rFonts w:hint="eastAsia" w:ascii="仿宋_GB2312" w:hAnsi="仿宋_GB2312" w:eastAsia="仿宋_GB2312" w:cs="仿宋_GB2312"/>
                <w:szCs w:val="21"/>
              </w:rPr>
              <w:t>本项目不收取</w:t>
            </w:r>
            <w:r>
              <w:rPr>
                <w:rFonts w:hint="eastAsia" w:ascii="仿宋_GB2312" w:hAnsi="仿宋_GB2312" w:eastAsia="仿宋_GB2312" w:cs="仿宋_GB2312"/>
                <w:kern w:val="0"/>
                <w:szCs w:val="21"/>
              </w:rPr>
              <w:t>采购代理服务费</w:t>
            </w:r>
          </w:p>
          <w:p>
            <w:pPr>
              <w:shd w:val="clear" w:color="auto" w:fill="FFFFFF"/>
              <w:jc w:val="left"/>
              <w:rPr>
                <w:rFonts w:ascii="仿宋_GB2312" w:hAnsi="仿宋_GB2312" w:eastAsia="仿宋_GB2312" w:cs="仿宋_GB2312"/>
                <w:szCs w:val="21"/>
              </w:rPr>
            </w:pPr>
            <w:r>
              <w:rPr>
                <w:rFonts w:hint="eastAsia" w:ascii="仿宋_GB2312" w:hAnsi="仿宋_GB2312" w:eastAsia="仿宋_GB2312" w:cs="仿宋_GB2312"/>
              </w:rPr>
              <w:sym w:font="Wingdings 2" w:char="0052"/>
            </w:r>
            <w:r>
              <w:rPr>
                <w:rFonts w:hint="eastAsia" w:ascii="仿宋_GB2312" w:hAnsi="仿宋_GB2312" w:eastAsia="仿宋_GB2312" w:cs="仿宋_GB2312"/>
                <w:szCs w:val="21"/>
              </w:rPr>
              <w:t>本项目收取</w:t>
            </w:r>
            <w:r>
              <w:rPr>
                <w:rFonts w:hint="eastAsia" w:ascii="仿宋_GB2312" w:hAnsi="仿宋_GB2312" w:eastAsia="仿宋_GB2312" w:cs="仿宋_GB2312"/>
                <w:kern w:val="0"/>
                <w:szCs w:val="21"/>
              </w:rPr>
              <w:t>采购代理服务费</w:t>
            </w:r>
          </w:p>
          <w:p>
            <w:pPr>
              <w:widowControl/>
              <w:ind w:firstLine="21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本项目采购代理服务费</w:t>
            </w:r>
            <w:r>
              <w:rPr>
                <w:rFonts w:hint="eastAsia" w:ascii="仿宋" w:hAnsi="仿宋" w:cs="仿宋"/>
                <w:kern w:val="0"/>
                <w:szCs w:val="21"/>
              </w:rPr>
              <w:t>由</w:t>
            </w:r>
            <w:r>
              <w:rPr>
                <w:rFonts w:hint="eastAsia" w:ascii="仿宋" w:hAnsi="仿宋" w:cs="仿宋"/>
                <w:kern w:val="0"/>
                <w:szCs w:val="21"/>
                <w:u w:val="single"/>
              </w:rPr>
              <w:t xml:space="preserve"> </w:t>
            </w:r>
            <w:r>
              <w:rPr>
                <w:rFonts w:hint="eastAsia" w:ascii="仿宋" w:hAnsi="仿宋" w:cs="仿宋"/>
                <w:b/>
                <w:bCs/>
                <w:kern w:val="0"/>
                <w:szCs w:val="21"/>
                <w:u w:val="single"/>
              </w:rPr>
              <w:t>成交供应商</w:t>
            </w:r>
            <w:r>
              <w:rPr>
                <w:rFonts w:hint="eastAsia" w:ascii="仿宋" w:hAnsi="仿宋" w:cs="仿宋"/>
                <w:kern w:val="0"/>
                <w:szCs w:val="21"/>
                <w:u w:val="single"/>
              </w:rPr>
              <w:t xml:space="preserve"> </w:t>
            </w:r>
            <w:r>
              <w:rPr>
                <w:rFonts w:hint="eastAsia" w:ascii="仿宋" w:hAnsi="仿宋" w:cs="仿宋"/>
                <w:kern w:val="0"/>
                <w:szCs w:val="21"/>
              </w:rPr>
              <w:t>向</w:t>
            </w:r>
            <w:r>
              <w:rPr>
                <w:rFonts w:hint="eastAsia" w:ascii="仿宋_GB2312" w:hAnsi="仿宋_GB2312" w:eastAsia="仿宋_GB2312" w:cs="仿宋_GB2312"/>
                <w:kern w:val="0"/>
                <w:szCs w:val="21"/>
              </w:rPr>
              <w:t>采购代理机构予以支付。</w:t>
            </w:r>
          </w:p>
          <w:p>
            <w:pPr>
              <w:widowControl/>
              <w:ind w:firstLine="210" w:firstLineChars="100"/>
              <w:rPr>
                <w:rFonts w:ascii="仿宋" w:hAnsi="仿宋" w:cs="仿宋"/>
                <w:b/>
                <w:kern w:val="0"/>
                <w:szCs w:val="21"/>
                <w:u w:val="single"/>
              </w:rPr>
            </w:pPr>
            <w:r>
              <w:rPr>
                <w:rFonts w:hint="eastAsia" w:ascii="仿宋" w:hAnsi="仿宋" w:cs="仿宋"/>
                <w:kern w:val="0"/>
                <w:szCs w:val="21"/>
              </w:rPr>
              <w:t>支付标准：</w:t>
            </w:r>
            <w:r>
              <w:rPr>
                <w:rFonts w:hint="eastAsia" w:ascii="仿宋" w:hAnsi="仿宋" w:cs="仿宋"/>
                <w:kern w:val="0"/>
                <w:szCs w:val="21"/>
                <w:u w:val="single"/>
              </w:rPr>
              <w:t>按照与采购人签订的委托代理合同收取，按中标额的1.5%计取。</w:t>
            </w:r>
          </w:p>
          <w:p>
            <w:pPr>
              <w:widowControl/>
              <w:ind w:firstLine="210" w:firstLineChars="100"/>
              <w:rPr>
                <w:rFonts w:ascii="仿宋" w:hAnsi="仿宋" w:cs="仿宋"/>
                <w:kern w:val="0"/>
                <w:szCs w:val="21"/>
              </w:rPr>
            </w:pPr>
            <w:r>
              <w:rPr>
                <w:rFonts w:hint="eastAsia" w:ascii="仿宋" w:hAnsi="仿宋" w:cs="仿宋"/>
                <w:kern w:val="0"/>
                <w:szCs w:val="21"/>
              </w:rPr>
              <w:t>支付形式：</w:t>
            </w:r>
            <w:r>
              <w:rPr>
                <w:rFonts w:hint="eastAsia" w:ascii="仿宋" w:hAnsi="仿宋" w:cs="仿宋"/>
                <w:kern w:val="0"/>
                <w:szCs w:val="21"/>
                <w:u w:val="single"/>
              </w:rPr>
              <w:t>转账或电汇</w:t>
            </w:r>
          </w:p>
          <w:p>
            <w:pPr>
              <w:widowControl/>
              <w:ind w:firstLine="210" w:firstLineChars="100"/>
              <w:rPr>
                <w:rFonts w:ascii="仿宋_GB2312" w:hAnsi="仿宋_GB2312" w:eastAsia="仿宋_GB2312" w:cs="仿宋_GB2312"/>
                <w:kern w:val="0"/>
                <w:szCs w:val="21"/>
              </w:rPr>
            </w:pPr>
            <w:r>
              <w:rPr>
                <w:rFonts w:hint="eastAsia" w:ascii="仿宋" w:hAnsi="仿宋" w:cs="仿宋"/>
                <w:kern w:val="0"/>
                <w:szCs w:val="21"/>
              </w:rPr>
              <w:t>支付时间：</w:t>
            </w:r>
            <w:r>
              <w:rPr>
                <w:rFonts w:hint="eastAsia" w:ascii="仿宋" w:hAnsi="仿宋" w:cs="仿宋"/>
                <w:kern w:val="0"/>
                <w:szCs w:val="21"/>
                <w:u w:val="single"/>
              </w:rPr>
              <w:t>采购代理服务费在中标或成交结果公示后至中标或成交通知书发放前一次性向采购代理机构付清。</w:t>
            </w:r>
          </w:p>
        </w:tc>
      </w:tr>
      <w:tr>
        <w:tblPrEx>
          <w:tblCellMar>
            <w:top w:w="0" w:type="dxa"/>
            <w:left w:w="108" w:type="dxa"/>
            <w:bottom w:w="0" w:type="dxa"/>
            <w:right w:w="108" w:type="dxa"/>
          </w:tblCellMar>
        </w:tblPrEx>
        <w:trPr>
          <w:trHeight w:val="3143" w:hRule="atLeast"/>
        </w:trPr>
        <w:tc>
          <w:tcPr>
            <w:tcW w:w="761" w:type="dxa"/>
            <w:tcBorders>
              <w:top w:val="single" w:color="auto" w:sz="4" w:space="0"/>
              <w:left w:val="single" w:color="auto" w:sz="8" w:space="0"/>
              <w:bottom w:val="single" w:color="auto" w:sz="8"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39.3</w:t>
            </w:r>
          </w:p>
        </w:tc>
        <w:tc>
          <w:tcPr>
            <w:tcW w:w="1714" w:type="dxa"/>
            <w:tcBorders>
              <w:top w:val="single" w:color="auto" w:sz="4" w:space="0"/>
              <w:left w:val="single" w:color="auto" w:sz="4" w:space="0"/>
              <w:bottom w:val="single" w:color="auto" w:sz="8" w:space="0"/>
              <w:right w:val="single" w:color="auto" w:sz="8"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质疑</w:t>
            </w:r>
          </w:p>
        </w:tc>
        <w:tc>
          <w:tcPr>
            <w:tcW w:w="6285" w:type="dxa"/>
            <w:tcBorders>
              <w:top w:val="single" w:color="auto" w:sz="4" w:space="0"/>
              <w:left w:val="nil"/>
              <w:bottom w:val="single" w:color="auto" w:sz="8" w:space="0"/>
              <w:right w:val="single" w:color="auto" w:sz="8" w:space="0"/>
            </w:tcBorders>
            <w:vAlign w:val="center"/>
          </w:tcPr>
          <w:p>
            <w:pPr>
              <w:widowControl/>
              <w:rPr>
                <w:rFonts w:ascii="仿宋" w:hAnsi="仿宋" w:cs="仿宋"/>
                <w:szCs w:val="21"/>
              </w:rPr>
            </w:pPr>
            <w:r>
              <w:rPr>
                <w:rFonts w:hint="eastAsia" w:ascii="仿宋" w:hAnsi="仿宋" w:cs="仿宋"/>
                <w:szCs w:val="21"/>
              </w:rPr>
              <w:t>一、供应商认为自己的权益受到损害的，可以在知道或者应知其权益受到损害之日起七个工作日内，向采购代理机构提出质疑。</w:t>
            </w:r>
          </w:p>
          <w:p>
            <w:pPr>
              <w:widowControl/>
              <w:rPr>
                <w:rFonts w:ascii="仿宋" w:hAnsi="仿宋" w:cs="仿宋"/>
                <w:szCs w:val="21"/>
              </w:rPr>
            </w:pPr>
            <w:r>
              <w:rPr>
                <w:rFonts w:hint="eastAsia" w:ascii="仿宋" w:hAnsi="仿宋" w:cs="仿宋"/>
                <w:szCs w:val="21"/>
              </w:rPr>
              <w:t>1、接收质疑函的方式：接收加盖单位公章的线上或书面质疑函</w:t>
            </w:r>
          </w:p>
          <w:p>
            <w:pPr>
              <w:widowControl/>
              <w:ind w:firstLine="420" w:firstLineChars="200"/>
              <w:rPr>
                <w:rFonts w:ascii="仿宋" w:hAnsi="仿宋" w:cs="仿宋"/>
                <w:szCs w:val="21"/>
                <w:u w:val="single"/>
              </w:rPr>
            </w:pPr>
            <w:r>
              <w:rPr>
                <w:rFonts w:hint="eastAsia" w:ascii="仿宋" w:hAnsi="仿宋" w:cs="仿宋"/>
                <w:szCs w:val="21"/>
              </w:rPr>
              <w:t>联系单位：</w:t>
            </w:r>
            <w:r>
              <w:rPr>
                <w:rFonts w:hint="eastAsia" w:ascii="仿宋" w:hAnsi="仿宋" w:cs="仿宋"/>
                <w:szCs w:val="21"/>
                <w:u w:val="single"/>
              </w:rPr>
              <w:t>沈阳益铭招投标咨询有限公司</w:t>
            </w:r>
          </w:p>
          <w:p>
            <w:pPr>
              <w:widowControl/>
              <w:ind w:firstLine="420" w:firstLineChars="200"/>
              <w:rPr>
                <w:rFonts w:ascii="仿宋" w:hAnsi="仿宋" w:cs="仿宋"/>
                <w:szCs w:val="21"/>
              </w:rPr>
            </w:pPr>
            <w:r>
              <w:rPr>
                <w:rFonts w:hint="eastAsia" w:ascii="仿宋" w:hAnsi="仿宋" w:cs="仿宋"/>
                <w:szCs w:val="21"/>
              </w:rPr>
              <w:t>联 系 人：</w:t>
            </w:r>
            <w:r>
              <w:rPr>
                <w:rFonts w:hint="eastAsia" w:ascii="仿宋" w:hAnsi="仿宋" w:cs="仿宋"/>
                <w:szCs w:val="21"/>
                <w:u w:val="single"/>
              </w:rPr>
              <w:t>崔淑颖</w:t>
            </w:r>
          </w:p>
          <w:p>
            <w:pPr>
              <w:widowControl/>
              <w:ind w:firstLine="420" w:firstLineChars="200"/>
              <w:rPr>
                <w:rFonts w:ascii="仿宋" w:hAnsi="仿宋" w:cs="仿宋"/>
                <w:szCs w:val="21"/>
              </w:rPr>
            </w:pPr>
            <w:r>
              <w:rPr>
                <w:rFonts w:hint="eastAsia" w:ascii="仿宋" w:hAnsi="仿宋" w:cs="仿宋"/>
                <w:szCs w:val="21"/>
              </w:rPr>
              <w:t>联系电话：</w:t>
            </w:r>
            <w:r>
              <w:rPr>
                <w:rFonts w:ascii="仿宋" w:hAnsi="仿宋" w:cs="仿宋"/>
                <w:szCs w:val="21"/>
                <w:u w:val="single"/>
              </w:rPr>
              <w:t>024-62516636</w:t>
            </w:r>
          </w:p>
          <w:p>
            <w:pPr>
              <w:widowControl/>
              <w:ind w:firstLine="420" w:firstLineChars="200"/>
              <w:rPr>
                <w:rFonts w:ascii="仿宋" w:hAnsi="仿宋" w:cs="仿宋"/>
                <w:szCs w:val="21"/>
              </w:rPr>
            </w:pPr>
            <w:r>
              <w:rPr>
                <w:rFonts w:hint="eastAsia" w:ascii="仿宋" w:hAnsi="仿宋" w:cs="仿宋"/>
                <w:szCs w:val="21"/>
              </w:rPr>
              <w:t>通讯地址：</w:t>
            </w:r>
            <w:r>
              <w:rPr>
                <w:rFonts w:hint="eastAsia" w:ascii="仿宋" w:hAnsi="仿宋" w:cs="仿宋"/>
                <w:szCs w:val="21"/>
                <w:u w:val="single"/>
              </w:rPr>
              <w:t>沈阳市沈北新区七星大街12号OVU创客公社A座601室</w:t>
            </w:r>
          </w:p>
          <w:p>
            <w:pPr>
              <w:widowControl/>
              <w:rPr>
                <w:rFonts w:ascii="仿宋" w:hAnsi="仿宋" w:cs="仿宋"/>
                <w:szCs w:val="21"/>
              </w:rPr>
            </w:pPr>
            <w:r>
              <w:rPr>
                <w:rFonts w:hint="eastAsia" w:ascii="仿宋" w:hAnsi="仿宋" w:cs="仿宋"/>
                <w:szCs w:val="21"/>
              </w:rPr>
              <w:t>2、质疑函的内容、格式：应符合《政府采购质疑和投诉办法》相关规定和财政部门制定的《政府采购质疑函范本》格式。</w:t>
            </w:r>
          </w:p>
          <w:p>
            <w:pPr>
              <w:pStyle w:val="5"/>
              <w:rPr>
                <w:rFonts w:ascii="仿宋_GB2312" w:hAnsi="仿宋_GB2312" w:eastAsia="仿宋_GB2312" w:cs="仿宋_GB2312"/>
                <w:kern w:val="0"/>
                <w:szCs w:val="21"/>
                <w:lang w:val="en-US" w:eastAsia="zh-CN"/>
              </w:rPr>
            </w:pPr>
            <w:r>
              <w:rPr>
                <w:rFonts w:hint="eastAsia" w:ascii="仿宋" w:hAnsi="仿宋" w:cs="仿宋"/>
                <w:szCs w:val="21"/>
                <w:lang w:val="en-US" w:eastAsia="zh-CN"/>
              </w:rPr>
              <w:t>二、供应商应在法定质疑期内一次性针对同一采购程序环节提出质疑，否则针对再次提出质疑将不予接收。（采购程序环节分为：采购公告、采购文件、采购过程、成交结果）</w:t>
            </w:r>
          </w:p>
        </w:tc>
      </w:tr>
    </w:tbl>
    <w:p>
      <w:pPr>
        <w:rPr>
          <w:rFonts w:ascii="仿宋_GB2312" w:hAnsi="仿宋_GB2312" w:eastAsia="仿宋_GB2312" w:cs="仿宋_GB2312"/>
        </w:rPr>
      </w:pPr>
      <w:r>
        <w:rPr>
          <w:rFonts w:hint="eastAsia" w:ascii="仿宋_GB2312" w:hAnsi="仿宋_GB2312" w:eastAsia="仿宋_GB2312" w:cs="仿宋_GB2312"/>
        </w:rPr>
        <w:t>注：表格中“</w:t>
      </w:r>
      <w:r>
        <w:rPr>
          <w:rFonts w:hint="eastAsia" w:ascii="仿宋_GB2312" w:hAnsi="仿宋_GB2312" w:eastAsia="仿宋_GB2312" w:cs="仿宋_GB2312"/>
        </w:rPr>
        <w:sym w:font="Wingdings 2" w:char="0052"/>
      </w:r>
      <w:r>
        <w:rPr>
          <w:rFonts w:hint="eastAsia" w:ascii="仿宋_GB2312" w:hAnsi="仿宋_GB2312" w:eastAsia="仿宋_GB2312" w:cs="仿宋_GB2312"/>
        </w:rPr>
        <w:t>”项或“■”项为被选中项。</w:t>
      </w:r>
    </w:p>
    <w:p>
      <w:pPr>
        <w:pStyle w:val="3"/>
        <w:adjustRightInd w:val="0"/>
        <w:snapToGrid w:val="0"/>
        <w:spacing w:before="0" w:after="0" w:line="360" w:lineRule="auto"/>
        <w:rPr>
          <w:rFonts w:ascii="仿宋_GB2312" w:hAnsi="仿宋_GB2312" w:eastAsia="仿宋_GB2312" w:cs="仿宋_GB2312"/>
          <w:sz w:val="32"/>
          <w:szCs w:val="36"/>
        </w:rPr>
      </w:pPr>
      <w:r>
        <w:rPr>
          <w:rFonts w:hint="eastAsia" w:ascii="仿宋_GB2312" w:hAnsi="仿宋_GB2312" w:eastAsia="仿宋_GB2312" w:cs="仿宋_GB2312"/>
          <w:sz w:val="21"/>
          <w:szCs w:val="21"/>
        </w:rPr>
        <w:br w:type="page"/>
      </w:r>
      <w:bookmarkStart w:id="54" w:name="_Toc30384_WPSOffice_Level2"/>
      <w:r>
        <w:rPr>
          <w:rFonts w:hint="eastAsia" w:ascii="仿宋_GB2312" w:hAnsi="仿宋_GB2312" w:eastAsia="仿宋_GB2312" w:cs="仿宋_GB2312"/>
          <w:sz w:val="32"/>
          <w:szCs w:val="36"/>
        </w:rPr>
        <w:t>二 总则</w:t>
      </w:r>
      <w:bookmarkEnd w:id="54"/>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1.采购人、采购代理机构及投标人</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1.1采购人：是指依法进行政府采购的国家机关、事业单位、团体组织。本项目采购人见投标人须知表1.1条。</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1.2采购代理机构：是指集中采购机构或从事采购代理业务的社会中介机构，本项目的采购代理机构见投标人须知表1.2条。</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★1.3投标人：是指向采购人提供货物、工程或者服务的法人、非法人组织或者自然人。本项目的投标人及其投标服务须满足以下条件：</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1.3.1在中华人民共和国境内注册，能够独立承担民事责任，有生产或供应能力的本国供应商。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1.3.2符合《中华人民共和国政府采购法》第二十二条关于供应商条件的规定，遵守本项目采购人本级和上级财政部门关于政府采购的有关规定。</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1.3.3以采购代理机构认可的方式获得了本项目的招标文件。</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1.3.4符合投标人须知表1.3.4条中规定的资格条件。</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1.3.5若投标人须知表1.3.5条中写明专门面向中小企业采购的，如投标人为非中小企业且所投产品为非中小企业产品，其投标将被认定为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1.3.6若投标人须知表1.3.6款中写明采购服务所伴随的货物为财政部、发展改革委、生态环境部等部门发布的品目清单中属于实施政府强制采购品目清单范围的节能产品，如投标人所投伴随的货物不具备依据国家确定的认证机构出具的、处于有效期之内的节能产品认证证书，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★1.4如投标人须知表1.4条中允许联合体投标，对联合体规定如下：</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1.4.1两个以上供应商可以组成一个投标联合体，以一个投标人的身份投标。</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1.4.2联合体各方均应符合《中华人民共和国政府采购法》第二十二条规定的条件。</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1.4.3采购人根据采购项目对投标人的特殊要求，联合体中至少应当有一方符合相关规定。</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1.4.4联合体各方应签订共同投标协议，明确约定联合体各方承担的工作和相应的责任。</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1.4.5大中型企业、其他自然人、法人或者非法人组织与小型、微型企业组成联合体共同参加投标，共同投标协议中应写明小型、微型企业的协议合同金额占到共同投标协议投标总金额的比例。</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1.4.6联合体中有同类资质的供应商按照联合体分工承担相同工作的，按照较低的资质等级确定联合体的资质等级。</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1.4.7以联合体形式参加政府采购活动的，联合体各方不得再单独参加或者与其他供应商另外组成联合体参加本项目投标，否则相关投标将被认定为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（1）两个以上的自然人、法人或者其他组织可以组成一个联合体，以一个投标人的身份共同参加政府采购活动。</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（2）联合体中标的，联合体各方应共同与采购人签订采购合同，就采购合同约定的事项对采购人承担连带责任。</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1.4.8对联合体投标的其他资格要求见投标人须知表1.4.8条。</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★1.5单位负责人为同一人或者存在直接控股、管理关系的不同供应商，其相关投标将被认定为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★1.6为本项目提供过整体设计、规范编制或者项目管理、监理、检测等服务的供应商，不得再参加本项目上述服务以外的其他采购活动，否则其投标将被认定为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★1.7投标人在投标过程中不得向采购人提供、给予任何有价值的物品，影响其正常决策行为。一经发现，其将被认定为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2.资金来源</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2.1本项目的采购人已获得足以支付本次招标后所签订的合同项下的资金（包括财政性资金和本项目采购中无法与财政性资金分割的非财政性资金）。</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★2.2项目预算金额和分项或分包最高限价见投标人须知表2.2条。</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★2.3投标人报价超过招标文件规定的预算金额或者分项、分包最高限价的，其投标将被认定为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b/>
          <w:bCs/>
          <w:szCs w:val="21"/>
        </w:rPr>
      </w:pPr>
      <w:bookmarkStart w:id="55" w:name="_Toc266951048"/>
      <w:r>
        <w:rPr>
          <w:rFonts w:hint="eastAsia" w:ascii="仿宋_GB2312" w:hAnsi="仿宋_GB2312" w:eastAsia="仿宋_GB2312" w:cs="仿宋_GB2312"/>
          <w:b/>
          <w:bCs/>
          <w:szCs w:val="21"/>
        </w:rPr>
        <w:t>3.语言文字</w:t>
      </w:r>
      <w:bookmarkEnd w:id="55"/>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除专用术语外，与投标有关的语言均使用中文。必要时专用术语应附有中文注释。对不同文字文本投标文件的解释发生异议的，以中文文本为准。</w:t>
      </w:r>
    </w:p>
    <w:p>
      <w:pPr>
        <w:adjustRightInd w:val="0"/>
        <w:snapToGrid w:val="0"/>
        <w:spacing w:line="360" w:lineRule="auto"/>
        <w:rPr>
          <w:rFonts w:ascii="仿宋_GB2312" w:hAnsi="仿宋_GB2312" w:eastAsia="仿宋_GB2312" w:cs="仿宋_GB2312"/>
          <w:b/>
          <w:bCs/>
          <w:szCs w:val="21"/>
        </w:rPr>
      </w:pPr>
      <w:bookmarkStart w:id="56" w:name="_1.8_计量单位"/>
      <w:bookmarkEnd w:id="56"/>
      <w:bookmarkStart w:id="57" w:name="_Toc266951049"/>
      <w:r>
        <w:rPr>
          <w:rFonts w:hint="eastAsia" w:ascii="仿宋_GB2312" w:hAnsi="仿宋_GB2312" w:eastAsia="仿宋_GB2312" w:cs="仿宋_GB2312"/>
          <w:szCs w:val="21"/>
        </w:rPr>
        <w:t>★</w:t>
      </w:r>
      <w:r>
        <w:rPr>
          <w:rFonts w:hint="eastAsia" w:ascii="仿宋_GB2312" w:hAnsi="仿宋_GB2312" w:eastAsia="仿宋_GB2312" w:cs="仿宋_GB2312"/>
          <w:b/>
          <w:bCs/>
          <w:szCs w:val="21"/>
        </w:rPr>
        <w:t>4.计量单位</w:t>
      </w:r>
      <w:bookmarkEnd w:id="57"/>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除投标人须知表4条中有特殊要求外，投标文件中所使用的计量单位，应采用中华人民共和国法定计量单位。</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5.投标费用</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不论投标的结果如何，投标人应承担所有与投标有关的费用。</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6.现场考察、开标前答疑会</w:t>
      </w:r>
    </w:p>
    <w:p>
      <w:pPr>
        <w:adjustRightInd w:val="0"/>
        <w:snapToGrid w:val="0"/>
        <w:spacing w:line="360" w:lineRule="auto"/>
        <w:rPr>
          <w:rFonts w:ascii="仿宋_GB2312" w:hAnsi="仿宋_GB2312" w:eastAsia="仿宋_GB2312" w:cs="仿宋_GB2312"/>
          <w:kern w:val="0"/>
          <w:szCs w:val="21"/>
        </w:rPr>
      </w:pPr>
      <w:bookmarkStart w:id="58" w:name="_1.10_投标预备会"/>
      <w:bookmarkEnd w:id="58"/>
      <w:r>
        <w:rPr>
          <w:rFonts w:hint="eastAsia" w:ascii="仿宋_GB2312" w:hAnsi="仿宋_GB2312" w:eastAsia="仿宋_GB2312" w:cs="仿宋_GB2312"/>
          <w:kern w:val="0"/>
          <w:szCs w:val="21"/>
        </w:rPr>
        <w:t>6.1</w:t>
      </w:r>
      <w:r>
        <w:fldChar w:fldCharType="begin"/>
      </w:r>
      <w:r>
        <w:instrText xml:space="preserve"> HYPERLINK \l "_踏勘现场" </w:instrText>
      </w:r>
      <w:r>
        <w:fldChar w:fldCharType="separate"/>
      </w:r>
      <w:r>
        <w:rPr>
          <w:rFonts w:hint="eastAsia" w:ascii="仿宋_GB2312" w:hAnsi="仿宋_GB2312" w:eastAsia="仿宋_GB2312" w:cs="仿宋_GB2312"/>
          <w:kern w:val="0"/>
          <w:szCs w:val="21"/>
        </w:rPr>
        <w:t>投标人须知表</w:t>
      </w:r>
      <w:r>
        <w:rPr>
          <w:rFonts w:hint="eastAsia" w:ascii="仿宋_GB2312" w:hAnsi="仿宋_GB2312" w:eastAsia="仿宋_GB2312" w:cs="仿宋_GB2312"/>
          <w:kern w:val="0"/>
          <w:szCs w:val="21"/>
        </w:rPr>
        <w:fldChar w:fldCharType="end"/>
      </w:r>
      <w:r>
        <w:rPr>
          <w:rFonts w:hint="eastAsia" w:ascii="仿宋_GB2312" w:hAnsi="仿宋_GB2312" w:eastAsia="仿宋_GB2312" w:cs="仿宋_GB2312"/>
          <w:kern w:val="0"/>
          <w:szCs w:val="21"/>
        </w:rPr>
        <w:t>6.1条规定组织现场考察或开标前答疑会的，采购人按规定的时间、地点组织投标人现场考察或开标前答疑会，或者在领取招标文件期限截止后以书面形式通知所有获取招标文件的潜在投标人。</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6.2</w:t>
      </w:r>
      <w:r>
        <w:rPr>
          <w:rFonts w:hint="eastAsia" w:ascii="仿宋_GB2312" w:hAnsi="仿宋_GB2312" w:eastAsia="仿宋_GB2312" w:cs="仿宋_GB2312"/>
          <w:kern w:val="0"/>
          <w:szCs w:val="21"/>
        </w:rPr>
        <w:t>由于未参加现场考察或标前答疑而导致对项目实际情况不了解，影响技术文件编制、</w:t>
      </w:r>
      <w:r>
        <w:fldChar w:fldCharType="begin"/>
      </w:r>
      <w:r>
        <w:instrText xml:space="preserve"> HYPERLINK "https://www.baidu.com/s?wd=%E6%8A%95%E6%A0%87%E6%8A%A5%E4%BB%B7&amp;tn=44039180_cpr&amp;fenlei=mv6quAkxTZn0IZRqIHckPjm4nH00T1dWuyfdP1u9uyPBrjKhmvDv0ZwV5Hcvrjm3rH6sPfKWUMw85HfYnjn4nH6sgvPsT6KdThsqpZwYTjCEQLGCpyw9Uz4Bmy-bIi4WUvYETgN-TLwGUv3EPj63P1RkPH6Y" \t "_blank" </w:instrText>
      </w:r>
      <w:r>
        <w:fldChar w:fldCharType="separate"/>
      </w:r>
      <w:r>
        <w:rPr>
          <w:rFonts w:hint="eastAsia" w:ascii="仿宋_GB2312" w:hAnsi="仿宋_GB2312" w:eastAsia="仿宋_GB2312" w:cs="仿宋_GB2312"/>
          <w:kern w:val="0"/>
          <w:szCs w:val="21"/>
        </w:rPr>
        <w:t>投标报价</w:t>
      </w:r>
      <w:r>
        <w:rPr>
          <w:rFonts w:ascii="仿宋_GB2312" w:hAnsi="仿宋_GB2312" w:eastAsia="仿宋_GB2312" w:cs="仿宋_GB2312"/>
          <w:kern w:val="0"/>
          <w:szCs w:val="21"/>
        </w:rPr>
        <w:fldChar w:fldCharType="end"/>
      </w:r>
      <w:r>
        <w:rPr>
          <w:rFonts w:hint="eastAsia" w:ascii="仿宋_GB2312" w:hAnsi="仿宋_GB2312" w:eastAsia="仿宋_GB2312" w:cs="仿宋_GB2312"/>
          <w:kern w:val="0"/>
          <w:szCs w:val="21"/>
        </w:rPr>
        <w:t>准确性、综合因素响应不全面等问题的，由投标人自行承担相应后果。</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6.3现场考察及参加标前答疑会所发生的费用及一切责任由投标人自行承担。</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7.适用法律</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本项目的采购人、采购代理机构、投标人、评标委员会的相关行为均受《中华人民共和国政府采购法》、《中华人民共和国政府采购法实施条例》、《政府采购货物和服务招标投标管理办法》及本项目本级和上级财政部门关于政府采购有关规定的约束，其权利受到上述法律法规的保护。</w:t>
      </w:r>
    </w:p>
    <w:p>
      <w:pPr>
        <w:pStyle w:val="3"/>
        <w:rPr>
          <w:rFonts w:ascii="仿宋_GB2312" w:hAnsi="仿宋_GB2312" w:eastAsia="仿宋_GB2312" w:cs="仿宋_GB2312"/>
          <w:sz w:val="32"/>
          <w:szCs w:val="28"/>
        </w:rPr>
      </w:pPr>
      <w:bookmarkStart w:id="59" w:name="_Toc10106_WPSOffice_Level2"/>
      <w:r>
        <w:rPr>
          <w:rFonts w:hint="eastAsia" w:ascii="仿宋_GB2312" w:hAnsi="仿宋_GB2312" w:eastAsia="仿宋_GB2312" w:cs="仿宋_GB2312"/>
          <w:sz w:val="32"/>
          <w:szCs w:val="28"/>
        </w:rPr>
        <w:t>三 招标文件</w:t>
      </w:r>
      <w:bookmarkEnd w:id="59"/>
    </w:p>
    <w:p>
      <w:pPr>
        <w:tabs>
          <w:tab w:val="left" w:pos="312"/>
        </w:tabs>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8.招标文件构成</w:t>
      </w:r>
    </w:p>
    <w:p>
      <w:pPr>
        <w:tabs>
          <w:tab w:val="left" w:pos="312"/>
        </w:tabs>
        <w:adjustRightInd w:val="0"/>
        <w:snapToGrid w:val="0"/>
        <w:spacing w:line="360" w:lineRule="auto"/>
        <w:rPr>
          <w:rFonts w:ascii="仿宋_GB2312" w:hAnsi="仿宋_GB2312" w:eastAsia="仿宋_GB2312" w:cs="仿宋_GB2312"/>
        </w:rPr>
      </w:pPr>
      <w:r>
        <w:rPr>
          <w:rFonts w:hint="eastAsia" w:ascii="仿宋_GB2312" w:hAnsi="仿宋_GB2312" w:eastAsia="仿宋_GB2312" w:cs="仿宋_GB2312"/>
          <w:szCs w:val="21"/>
        </w:rPr>
        <w:t>8.1招标</w:t>
      </w:r>
      <w:r>
        <w:rPr>
          <w:rFonts w:hint="eastAsia" w:ascii="仿宋_GB2312" w:hAnsi="仿宋_GB2312" w:eastAsia="仿宋_GB2312" w:cs="仿宋_GB2312"/>
        </w:rPr>
        <w:t>文件内容如下:</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kern w:val="0"/>
          <w:szCs w:val="21"/>
        </w:rPr>
        <w:t>招标</w:t>
      </w:r>
      <w:r>
        <w:rPr>
          <w:rFonts w:hint="eastAsia" w:ascii="仿宋_GB2312" w:hAnsi="仿宋_GB2312" w:eastAsia="仿宋_GB2312" w:cs="仿宋_GB2312"/>
        </w:rPr>
        <w:t>公告</w:t>
      </w:r>
    </w:p>
    <w:p>
      <w:pPr>
        <w:numPr>
          <w:ilvl w:val="0"/>
          <w:numId w:val="3"/>
        </w:numPr>
        <w:adjustRightInd w:val="0"/>
        <w:snapToGrid w:val="0"/>
        <w:spacing w:line="360" w:lineRule="auto"/>
        <w:ind w:firstLine="420" w:firstLineChars="200"/>
        <w:rPr>
          <w:rFonts w:ascii="仿宋_GB2312" w:hAnsi="仿宋_GB2312" w:eastAsia="仿宋_GB2312" w:cs="仿宋_GB2312"/>
        </w:rPr>
      </w:pPr>
      <w:bookmarkStart w:id="60" w:name="_Toc188_WPSOffice_Level2"/>
      <w:bookmarkStart w:id="61" w:name="_Toc4961_WPSOffice_Level2"/>
      <w:bookmarkStart w:id="62" w:name="_Toc25935_WPSOffice_Level2"/>
      <w:bookmarkStart w:id="63" w:name="_Toc24604_WPSOffice_Level2"/>
      <w:r>
        <w:rPr>
          <w:rFonts w:hint="eastAsia" w:ascii="仿宋_GB2312" w:hAnsi="仿宋_GB2312" w:eastAsia="仿宋_GB2312" w:cs="仿宋_GB2312"/>
        </w:rPr>
        <w:t>投标人须知</w:t>
      </w:r>
      <w:bookmarkEnd w:id="60"/>
      <w:bookmarkEnd w:id="61"/>
      <w:bookmarkEnd w:id="62"/>
      <w:bookmarkEnd w:id="63"/>
    </w:p>
    <w:p>
      <w:pPr>
        <w:adjustRightInd w:val="0"/>
        <w:snapToGrid w:val="0"/>
        <w:spacing w:line="360" w:lineRule="auto"/>
        <w:ind w:firstLine="420" w:firstLineChars="200"/>
        <w:rPr>
          <w:rFonts w:ascii="仿宋_GB2312" w:hAnsi="仿宋_GB2312" w:eastAsia="仿宋_GB2312" w:cs="仿宋_GB2312"/>
        </w:rPr>
      </w:pPr>
      <w:bookmarkStart w:id="64" w:name="_Toc13276_WPSOffice_Level2"/>
      <w:bookmarkStart w:id="65" w:name="_Toc32235_WPSOffice_Level2"/>
      <w:bookmarkStart w:id="66" w:name="_Toc2443_WPSOffice_Level2"/>
      <w:bookmarkStart w:id="67" w:name="_Toc31424_WPSOffice_Level2"/>
      <w:r>
        <w:rPr>
          <w:rFonts w:hint="eastAsia" w:ascii="仿宋_GB2312" w:hAnsi="仿宋_GB2312" w:eastAsia="仿宋_GB2312" w:cs="仿宋_GB2312"/>
        </w:rPr>
        <w:t>第二章 投标文件内容及格式</w:t>
      </w:r>
      <w:bookmarkEnd w:id="64"/>
      <w:bookmarkEnd w:id="65"/>
      <w:bookmarkEnd w:id="66"/>
      <w:bookmarkEnd w:id="67"/>
    </w:p>
    <w:p>
      <w:pPr>
        <w:adjustRightInd w:val="0"/>
        <w:snapToGrid w:val="0"/>
        <w:spacing w:line="360" w:lineRule="auto"/>
        <w:ind w:firstLine="420" w:firstLineChars="200"/>
        <w:rPr>
          <w:rFonts w:ascii="仿宋_GB2312" w:hAnsi="仿宋_GB2312" w:eastAsia="仿宋_GB2312" w:cs="仿宋_GB2312"/>
        </w:rPr>
      </w:pPr>
      <w:bookmarkStart w:id="68" w:name="_Toc4416_WPSOffice_Level2"/>
      <w:bookmarkStart w:id="69" w:name="_Toc16269_WPSOffice_Level2"/>
      <w:bookmarkStart w:id="70" w:name="_Toc24836_WPSOffice_Level2"/>
      <w:bookmarkStart w:id="71" w:name="_Toc7005_WPSOffice_Level2"/>
      <w:r>
        <w:rPr>
          <w:rFonts w:hint="eastAsia" w:ascii="仿宋_GB2312" w:hAnsi="仿宋_GB2312" w:eastAsia="仿宋_GB2312" w:cs="仿宋_GB2312"/>
        </w:rPr>
        <w:t>第三章 服务需求</w:t>
      </w:r>
      <w:bookmarkEnd w:id="68"/>
      <w:bookmarkEnd w:id="69"/>
      <w:bookmarkEnd w:id="70"/>
      <w:bookmarkEnd w:id="71"/>
    </w:p>
    <w:p>
      <w:pPr>
        <w:adjustRightInd w:val="0"/>
        <w:snapToGrid w:val="0"/>
        <w:spacing w:line="360" w:lineRule="auto"/>
        <w:ind w:firstLine="420" w:firstLineChars="200"/>
        <w:rPr>
          <w:rFonts w:ascii="仿宋_GB2312" w:hAnsi="仿宋_GB2312" w:eastAsia="仿宋_GB2312" w:cs="仿宋_GB2312"/>
        </w:rPr>
      </w:pPr>
      <w:bookmarkStart w:id="72" w:name="_Toc25382_WPSOffice_Level2"/>
      <w:bookmarkStart w:id="73" w:name="_Toc16294_WPSOffice_Level2"/>
      <w:bookmarkStart w:id="74" w:name="_Toc23459_WPSOffice_Level2"/>
      <w:bookmarkStart w:id="75" w:name="_Toc16119_WPSOffice_Level2"/>
      <w:r>
        <w:rPr>
          <w:rFonts w:hint="eastAsia" w:ascii="仿宋_GB2312" w:hAnsi="仿宋_GB2312" w:eastAsia="仿宋_GB2312" w:cs="仿宋_GB2312"/>
        </w:rPr>
        <w:t>第四章 评标方法</w:t>
      </w:r>
      <w:bookmarkEnd w:id="72"/>
      <w:bookmarkEnd w:id="73"/>
      <w:bookmarkEnd w:id="74"/>
      <w:bookmarkEnd w:id="75"/>
    </w:p>
    <w:p>
      <w:pPr>
        <w:adjustRightInd w:val="0"/>
        <w:snapToGrid w:val="0"/>
        <w:spacing w:line="360" w:lineRule="auto"/>
        <w:ind w:firstLine="420" w:firstLineChars="200"/>
        <w:rPr>
          <w:rFonts w:ascii="仿宋_GB2312" w:hAnsi="仿宋_GB2312" w:eastAsia="仿宋_GB2312" w:cs="仿宋_GB2312"/>
        </w:rPr>
      </w:pPr>
      <w:bookmarkStart w:id="76" w:name="_Toc28106_WPSOffice_Level2"/>
      <w:bookmarkStart w:id="77" w:name="_Toc9629_WPSOffice_Level2"/>
      <w:bookmarkStart w:id="78" w:name="_Toc17794_WPSOffice_Level2"/>
      <w:bookmarkStart w:id="79" w:name="_Toc16368_WPSOffice_Level2"/>
      <w:r>
        <w:rPr>
          <w:rFonts w:hint="eastAsia" w:ascii="仿宋_GB2312" w:hAnsi="仿宋_GB2312" w:eastAsia="仿宋_GB2312" w:cs="仿宋_GB2312"/>
        </w:rPr>
        <w:t>第五章 政府采购合同条款及格式</w:t>
      </w:r>
      <w:bookmarkEnd w:id="76"/>
      <w:bookmarkEnd w:id="77"/>
      <w:bookmarkEnd w:id="78"/>
      <w:bookmarkEnd w:id="79"/>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★8.2投标人应认真阅读招标文件所有的事项、格式、条款等。如投标人没有按照招标文件要求提交资料，或者投标文件没有对招标文件做出实质性响应，可能导致其投标被认定为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9.招标文件的澄清与修改</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9.1采购人或者采购代理机构可以对已发出的招标文件进行澄清或者修改。澄清或者修改的内容可能影响投标文件编制的，应当在投标截止时间至少15日前，在原公告发布媒体上发布变更公告，并以书面形式通知所有获取招标文件的潜在投标人；不足15日的，采购人或者采购代理机构应当顺延提交投标文件的截止时间。</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9.2澄清或者修改的内容为招标文件的组成部分，对所有招标文件的收受人具有约束力。投标人在收到上述通知后，应及时向采购代理机构回函确认。</w:t>
      </w:r>
    </w:p>
    <w:p>
      <w:pPr>
        <w:pStyle w:val="3"/>
        <w:rPr>
          <w:rFonts w:ascii="仿宋_GB2312" w:hAnsi="仿宋_GB2312" w:eastAsia="仿宋_GB2312" w:cs="仿宋_GB2312"/>
          <w:sz w:val="32"/>
          <w:szCs w:val="28"/>
        </w:rPr>
      </w:pPr>
      <w:bookmarkStart w:id="80" w:name="_Toc7415_WPSOffice_Level2"/>
      <w:r>
        <w:rPr>
          <w:rFonts w:hint="eastAsia" w:ascii="仿宋_GB2312" w:hAnsi="仿宋_GB2312" w:eastAsia="仿宋_GB2312" w:cs="仿宋_GB2312"/>
          <w:sz w:val="32"/>
          <w:szCs w:val="28"/>
        </w:rPr>
        <w:t>四 投标文件的编制</w:t>
      </w:r>
      <w:bookmarkEnd w:id="80"/>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10.投标范围</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10.1项目有分包的，投标人可对招标文件其中某一个分包或几个分包进行投标。</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★10.2投标人应当对所投分包在招标文件“服务需求”中所列的所有服务内容进行投标，如仅响应分包中某一部分内容，其该包投标将被认定为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10.3无论招标文件第三章 服务需求中是否要求，投标人所投的服务均应符合国家强制性标准。</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11.投标文件构成</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★11.1投标人应完整地按招标文件提供的投标文件格式及要求编写投标文件。投标文件应包括资格证明文件、符合性证明文件、其它材料三部分。具体见第二章 投标文件内容及格式。</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★11.2投标人应按招标文件提供的格式编写投标文件。招标文件提供标准格式的按标准格式填列，未提供标准格式的可自行拟定。</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11.3样品或演示要求详见投标人须知表11.3条。</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12.投标报价</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12.1所有投标均按投标人须知表12.1条中要求货币进行报价。投标人的投标报价应遵守《中华人民共和国价格法》。同时，根据《中华人民共和国政府采购法》第三条的规定，为保证公平竞争，如有服务主体部分的赠与行为，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12.2投标人应按招标文件要求在相关表格中标明投标服务及伴随货物的单价和总价，并由法定代表人（非法人组织的负责人）或其委托代理人签署。</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12.3投标人所报的各分项投标单价在合同履行过程中是固定不变的，不得以任何理由予以变更。任何包含价格调整要求的投标，其投标将被认定为</w:t>
      </w:r>
      <w:r>
        <w:rPr>
          <w:rFonts w:hint="eastAsia" w:ascii="仿宋_GB2312" w:hAnsi="仿宋_GB2312" w:eastAsia="仿宋_GB2312" w:cs="仿宋_GB2312"/>
          <w:b/>
          <w:bCs/>
          <w:szCs w:val="21"/>
        </w:rPr>
        <w:t>投标无效。</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12.4每种服务只能有一个投标报价。采购人不接受具有附加条件的报价。</w:t>
      </w:r>
    </w:p>
    <w:p>
      <w:pPr>
        <w:adjustRightInd w:val="0"/>
        <w:snapToGrid w:val="0"/>
        <w:spacing w:line="360" w:lineRule="auto"/>
        <w:rPr>
          <w:rFonts w:ascii="仿宋_GB2312" w:hAnsi="仿宋_GB2312" w:eastAsia="仿宋_GB2312" w:cs="仿宋_GB2312"/>
          <w:szCs w:val="21"/>
        </w:rPr>
      </w:pPr>
      <w:bookmarkStart w:id="81" w:name="_Toc22507_WPSOffice_Level2"/>
      <w:bookmarkStart w:id="82" w:name="_Toc31973_WPSOffice_Level2"/>
      <w:r>
        <w:rPr>
          <w:rFonts w:hint="eastAsia" w:ascii="仿宋_GB2312" w:hAnsi="仿宋_GB2312" w:eastAsia="仿宋_GB2312" w:cs="仿宋_GB2312"/>
          <w:szCs w:val="21"/>
        </w:rPr>
        <w:t>12.5除非招标文件另有规定，报价原则上精确到小数点后两位。</w:t>
      </w:r>
      <w:bookmarkEnd w:id="81"/>
      <w:bookmarkEnd w:id="82"/>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★13.投标保证金</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13.1投标人应提交投标人须知表13.1条中规定的投标保证金，并作为其投标的一部分。</w:t>
      </w:r>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13.2投标保证金缴纳人、招标文件领取人、投标登记人和投标人必须为同一组织机构或联合体内不同成员单位，否则将视同未按招标文件规定交纳投标保证金。</w:t>
      </w:r>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13.3投标人存在下列情形的，投标保证金不予退还:</w:t>
      </w:r>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（1）在投标有效期内，投标人撤销投标的;</w:t>
      </w:r>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（2）中标后不按本须知第34条的规定与采购人签订合同的;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（3）中标后不按本须知第35条的规定提交履约保证金的;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（4）中标后不按本须知第36条的规定缴纳采购代理服务费的;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（5）存在其他违法违规行为的。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13.4联合体投标的，可以由联合体中的一方或者共同提交投标保证金。以一方名义提交投标保证金的，对联合体各方均具有约束力。</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13.5投标保证金的退还</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13.5.1中标人应在与采购人签订合同之日起5个工作日内，及时联系保证金收受机构办理投标保证金退还手续。</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13.5.2未中标投标人的投标保证金将在中标通知书发出之日暨中标结果公告公布之日起5个工作日内无息退还。投标人应及时联系保证金收受机构办理退还投标保证金手续。</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13.5.3投标人在投标截止时间前撤回已提交的投标文件的，投标人应自采购人或者采购代理机构收到投标人书面撤回通知之日起５个工作日内，及时联系保证金收受机构办理投标保证金退还手续。</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13.5.4政府采购投标担保函不予退回。</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13.6因投标人自身原因导致无法及时退还的，采购人或采购代理机构将不承担相应责任。</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14.证明投标标的的合格性和符合招标文件规定的技术文件</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14.1投标人应提交证明文件，证明其投标内容符合招标文件规定。该证明文件是投标文件的一部分。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14.2上条所述的证明文件，可以是文字资料、图纸和数据。</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15.投标有效期</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15.1投标应在投标人须知表15.1条中规定的投标有效期内保持有效。投标有效期不满足要求的投标，其投标将被认定为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15.2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16.投标文件的签署及规定</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16.1投标人应按投标人须知表16.1款中的规定，准备和递交投标文件正本、副本和电子文档。</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★16.2每份投标文件封皮须清楚地标明“正本”或“副本”。若正本和副本不符，以正本为准。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16.3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pPr>
        <w:pStyle w:val="3"/>
        <w:rPr>
          <w:rFonts w:ascii="仿宋_GB2312" w:hAnsi="仿宋_GB2312" w:eastAsia="仿宋_GB2312" w:cs="仿宋_GB2312"/>
          <w:sz w:val="32"/>
          <w:szCs w:val="28"/>
        </w:rPr>
      </w:pPr>
      <w:bookmarkStart w:id="83" w:name="_Toc27725_WPSOffice_Level2"/>
      <w:r>
        <w:rPr>
          <w:rFonts w:hint="eastAsia" w:ascii="仿宋_GB2312" w:hAnsi="仿宋_GB2312" w:eastAsia="仿宋_GB2312" w:cs="仿宋_GB2312"/>
          <w:sz w:val="32"/>
          <w:szCs w:val="28"/>
        </w:rPr>
        <w:t>五 投标文件的递交</w:t>
      </w:r>
      <w:bookmarkEnd w:id="83"/>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17.投标文件的密封和标记</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17.1投标人应将投标文件密封，将正本和所有的副本、电子文档密封，并进行包封。</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17.2 所有包装封皮上均应：</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（1）注明项目名称、项目编号、包号、投标人名称。</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（2）加盖投标人单位公章。</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17.3如果投标人未按上述要求密封，其投标文件将被</w:t>
      </w:r>
      <w:r>
        <w:rPr>
          <w:rFonts w:hint="eastAsia" w:ascii="仿宋_GB2312" w:hAnsi="仿宋_GB2312" w:eastAsia="仿宋_GB2312" w:cs="仿宋_GB2312"/>
          <w:b/>
          <w:bCs/>
          <w:szCs w:val="21"/>
        </w:rPr>
        <w:t>拒绝接收</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18.投标截止</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18.1投标人应在投标人须知表18.1中规定的递交投标文件截止时间前，将投标文件递交到投标人须知表18.1中规定的地点。</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18.2采购人和采购代理机构有权按本须知的规定，延迟投标截止时间。在此情况下，采购人、采购代理机构和投标人受投标截止时间制约的所有权利和义务均应延长至新的截止时间。</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19. 投标文件的接收、修改与撤回</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19.1在投标截止时间后送达的投标文件，采购人和采购代理机构将</w:t>
      </w:r>
      <w:r>
        <w:rPr>
          <w:rFonts w:hint="eastAsia" w:ascii="仿宋_GB2312" w:hAnsi="仿宋_GB2312" w:eastAsia="仿宋_GB2312" w:cs="仿宋_GB2312"/>
          <w:b/>
          <w:bCs/>
          <w:szCs w:val="21"/>
        </w:rPr>
        <w:t>拒绝接收</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19.2采购人或者采购代理机构收到投标文件后，应当如实记载投标文件的送达时间和密封情况，并向投标人出具以下签收回执。</w:t>
      </w:r>
    </w:p>
    <w:p>
      <w:pPr>
        <w:adjustRightInd w:val="0"/>
        <w:snapToGrid w:val="0"/>
        <w:spacing w:line="360" w:lineRule="auto"/>
        <w:jc w:val="center"/>
        <w:rPr>
          <w:rFonts w:ascii="仿宋_GB2312" w:hAnsi="仿宋_GB2312" w:eastAsia="仿宋_GB2312" w:cs="仿宋_GB2312"/>
          <w:b/>
          <w:bCs/>
          <w:szCs w:val="21"/>
        </w:rPr>
      </w:pPr>
      <w:r>
        <w:rPr>
          <w:rFonts w:hint="eastAsia" w:ascii="仿宋_GB2312" w:hAnsi="仿宋_GB2312" w:eastAsia="仿宋_GB2312" w:cs="仿宋_GB2312"/>
          <w:b/>
          <w:bCs/>
          <w:szCs w:val="21"/>
        </w:rPr>
        <w:t>接收投标文件回执单</w:t>
      </w:r>
    </w:p>
    <w:tbl>
      <w:tblPr>
        <w:tblStyle w:val="12"/>
        <w:tblW w:w="7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4"/>
        <w:gridCol w:w="5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644"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项目编号</w:t>
            </w:r>
          </w:p>
        </w:tc>
        <w:tc>
          <w:tcPr>
            <w:tcW w:w="5396" w:type="dxa"/>
            <w:vAlign w:val="center"/>
          </w:tcPr>
          <w:p>
            <w:pPr>
              <w:adjustRightInd w:val="0"/>
              <w:snapToGrid w:val="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644"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项目名称</w:t>
            </w:r>
          </w:p>
        </w:tc>
        <w:tc>
          <w:tcPr>
            <w:tcW w:w="5396" w:type="dxa"/>
            <w:vAlign w:val="center"/>
          </w:tcPr>
          <w:p>
            <w:pPr>
              <w:adjustRightInd w:val="0"/>
              <w:snapToGrid w:val="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644"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投标人名称</w:t>
            </w:r>
          </w:p>
        </w:tc>
        <w:tc>
          <w:tcPr>
            <w:tcW w:w="5396" w:type="dxa"/>
            <w:vAlign w:val="center"/>
          </w:tcPr>
          <w:p>
            <w:pPr>
              <w:adjustRightInd w:val="0"/>
              <w:snapToGrid w:val="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644"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递交时间</w:t>
            </w:r>
          </w:p>
        </w:tc>
        <w:tc>
          <w:tcPr>
            <w:tcW w:w="5396" w:type="dxa"/>
            <w:vAlign w:val="center"/>
          </w:tcPr>
          <w:p>
            <w:pPr>
              <w:adjustRightInd w:val="0"/>
              <w:snapToGrid w:val="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644"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接收单位</w:t>
            </w:r>
          </w:p>
        </w:tc>
        <w:tc>
          <w:tcPr>
            <w:tcW w:w="5396" w:type="dxa"/>
            <w:vAlign w:val="center"/>
          </w:tcPr>
          <w:p>
            <w:pPr>
              <w:adjustRightInd w:val="0"/>
              <w:snapToGrid w:val="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644"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接收人签字</w:t>
            </w:r>
          </w:p>
        </w:tc>
        <w:tc>
          <w:tcPr>
            <w:tcW w:w="5396" w:type="dxa"/>
            <w:vAlign w:val="center"/>
          </w:tcPr>
          <w:p>
            <w:pPr>
              <w:adjustRightInd w:val="0"/>
              <w:snapToGrid w:val="0"/>
              <w:jc w:val="center"/>
              <w:rPr>
                <w:rFonts w:ascii="仿宋_GB2312" w:hAnsi="仿宋_GB2312" w:eastAsia="仿宋_GB2312" w:cs="仿宋_GB2312"/>
                <w:szCs w:val="21"/>
              </w:rPr>
            </w:pPr>
          </w:p>
        </w:tc>
      </w:tr>
    </w:tbl>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19.3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效。</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19.4在投标截止时间之后，投标人不得对其投标文件做任何修改。</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19.5 采购人和采购代理机构对所接收并当众宣读投标内容的投标文件概不退回。</w:t>
      </w:r>
    </w:p>
    <w:p>
      <w:pPr>
        <w:pStyle w:val="3"/>
        <w:rPr>
          <w:rFonts w:ascii="仿宋_GB2312" w:hAnsi="仿宋_GB2312" w:eastAsia="仿宋_GB2312" w:cs="仿宋_GB2312"/>
          <w:sz w:val="32"/>
          <w:szCs w:val="28"/>
        </w:rPr>
      </w:pPr>
      <w:bookmarkStart w:id="84" w:name="_Toc988_WPSOffice_Level2"/>
      <w:bookmarkStart w:id="85" w:name="_Toc4544_WPSOffice_Level2"/>
      <w:r>
        <w:rPr>
          <w:rFonts w:hint="eastAsia" w:ascii="仿宋_GB2312" w:hAnsi="仿宋_GB2312" w:eastAsia="仿宋_GB2312" w:cs="仿宋_GB2312"/>
          <w:sz w:val="32"/>
          <w:szCs w:val="28"/>
        </w:rPr>
        <w:t>六 开标及评标</w:t>
      </w:r>
      <w:bookmarkEnd w:id="84"/>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20.开标</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20.1采购人和采购代理机构将按投标人须知表20.1条中规定的开标时间和地点组织公开开标并邀请所有投标人代表参加。</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投标人不足 3 家的，不得开标。评标委员会成员不得参加开标活动。</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20.2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未宣读投标价格、价格折扣等实质内容，评标时不予承认。</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20.3采购人或采购代理机构将对开标过程进行记录，由参加开标的各投标人代表和相关工作人员签字确认，并存档备查。投标人未参加开标或未签字确认的，视同认可开标结果。</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20.4投标人代表对开标过程和开标记录有疑义，以及认为采购人、采购代理机构相关工作人员有需要回避的情形的，应当场提出询问或者回避申请。</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21.组建评标委员会</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按照《中华人民共和国政府采购法》、《中华人民共和国政府采购法实施条例》有关规定依法组建评标委员会，负责本项目评标工作。本项目评标委员会组成详见投标人须知表21条。</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22.资格审查</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22.1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；通过资格审查的投标人不足3家的，不得评标。</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22.2采购人或采购代理机构将在递交投标文件截止时间前一个工作日至资格性审查结束前的期间内查询投标人的信用记录。投标人存在不良信用记录的，其投标将被认定为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22.2.1不良信用记录指：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以联合体形式参加投标的，联合体任何成员存在以上不良信用记录的，联合体投标将被认定为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22.2.2 查询及记录方式：采购人或采购代理机构经办人将查询网页打印并存档备查。投标人不良信用记录以采购人或采购代理机构查询结果为准。</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在本招标文件规定的查询时间之后，网站信息发生的任何变更均不再作为评标依据。</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投标人自行提供的与网站信息不一致的其他证明材料亦不作为资格审查依据。</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23.符合性审查</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 xml:space="preserve">    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；通过符合性审查的投标人数量不足3家的，不得作进一步的比较和评价。</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24.投标文件的澄清</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24.1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作出书面澄清、说明、补正的，其投标将被作为无效投标处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24.2投标人的澄清、说明或补正将作为投标文件的一部分。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24.3投标文件报价出现前后不一致的，按照下列规定修正：</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（1）投标文件中开标一览表内容与投标文件中相应内容不一致的，以开标一览表为准；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（2）大写金额和小写金额不一致的，以大写金额为准；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（3）单价金额小数点或者百分比有明显错位的，以开标一览表的总价为准，并修改单价；</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（4）总价金额与按单价汇总金额不一致的，以单价金额计算结果为准。</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同时出现两种以上不一致的，按照前款规定的顺序修正。修正后的报价经投标人确认后产生约束力，投标人不确认的，其投标将被认定为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rPr>
      </w:pPr>
      <w:r>
        <w:rPr>
          <w:rFonts w:hint="eastAsia" w:ascii="仿宋_GB2312" w:hAnsi="仿宋_GB2312" w:eastAsia="仿宋_GB2312" w:cs="仿宋_GB2312"/>
          <w:szCs w:val="21"/>
        </w:rPr>
        <w:t>24.4</w:t>
      </w:r>
      <w:r>
        <w:rPr>
          <w:rFonts w:hint="eastAsia" w:ascii="仿宋_GB2312" w:hAnsi="仿宋_GB2312" w:eastAsia="仿宋_GB2312" w:cs="仿宋_GB2312"/>
          <w:b/>
          <w:bCs/>
          <w:szCs w:val="21"/>
        </w:rPr>
        <w:t>评标委员会认为</w:t>
      </w:r>
      <w:r>
        <w:rPr>
          <w:rFonts w:hint="eastAsia" w:ascii="仿宋_GB2312" w:hAnsi="仿宋_GB2312" w:eastAsia="仿宋_GB2312" w:cs="仿宋_GB2312"/>
          <w:szCs w:val="21"/>
        </w:rPr>
        <w:t>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w:t>
      </w:r>
      <w:r>
        <w:rPr>
          <w:rFonts w:hint="eastAsia" w:ascii="仿宋_GB2312" w:hAnsi="仿宋_GB2312" w:eastAsia="仿宋_GB2312" w:cs="仿宋_GB2312"/>
          <w:b/>
          <w:bCs/>
          <w:szCs w:val="21"/>
        </w:rPr>
        <w:t>无效投标</w:t>
      </w:r>
      <w:r>
        <w:rPr>
          <w:rFonts w:hint="eastAsia" w:ascii="仿宋_GB2312" w:hAnsi="仿宋_GB2312" w:eastAsia="仿宋_GB2312" w:cs="仿宋_GB2312"/>
          <w:szCs w:val="21"/>
        </w:rPr>
        <w:t>处理。提交证明材料的合理时间按第四章 评标方法规定执行。</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25样品及演示</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25.1投标人须知表11.3条中要求投标人提供样品的，按照投标人须知表25.1条中样品的评审方法以及评审标准进行评审。</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25.2采购活动结束后，对于未中标人提供的样品，应当及时退还或者经未中标人同意后自行处理；对于中标人提供的样品，应当按招标文件规定进行保管、封存，并作为履约验收的参考。具体内容见投标人须知表11.3条。</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25.3演示的评审方法以及评审标准具体内容见投标人须知表25.1条。</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26.投标无效</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26.1在比较与评价之前，根据本须知的规定，评标委员会将审查每份投标文件是否实质上响应了招标文件的要求。</w:t>
      </w:r>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实质性要求是指招标文件中带有★号标识内容（包括本级及其下级编号中所有内容）等文字说明的要求。</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kern w:val="0"/>
          <w:szCs w:val="21"/>
        </w:rPr>
        <w:t>对招标文件的实质性要求进行响应是指与招标文件中带有★号标识内容的文字说明、条条、条件和规格等要求相符。</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如果投标文件没有对招标文件的实质性要求进行响应，将作为</w:t>
      </w:r>
      <w:r>
        <w:rPr>
          <w:rFonts w:hint="eastAsia" w:ascii="仿宋_GB2312" w:hAnsi="仿宋_GB2312" w:eastAsia="仿宋_GB2312" w:cs="仿宋_GB2312"/>
          <w:b/>
          <w:bCs/>
          <w:szCs w:val="21"/>
        </w:rPr>
        <w:t>无效投标</w:t>
      </w:r>
      <w:r>
        <w:rPr>
          <w:rFonts w:hint="eastAsia" w:ascii="仿宋_GB2312" w:hAnsi="仿宋_GB2312" w:eastAsia="仿宋_GB2312" w:cs="仿宋_GB2312"/>
          <w:szCs w:val="21"/>
        </w:rPr>
        <w:t>处理，投标人不得再对投标文件进行任何修正从而使其投标成为实质上响应的投标。</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评标委员会决定投标的响应性只根据招标文件要求、投标文件内容及财政主管部门指定媒体发布的相关信息。</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26.2如发现下列情况之一的，其投标将被认定为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（1）未按招标文件的规定提交投标保证金的；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（2）未按照招标文件规定要求签署、盖章的；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（3）投标人的报价超过了招标文件中规定的预算金额或者最高限价的；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（4）不具备招标文件中规定的资格要求的；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（5）不符合法律、法规和招标文件中规定的其他实质性要求的。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（6）与其他投标人串通投标，或者与采购人串通投标；</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（7）评标委员会认为投标人的报价明显低于其他通过符合性审查投标人的报价，有可能影响履约的，且投标人未按照规定证明其报价合理性的；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（8）投标文件含有采购人不能接受的附加条件的；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（9）属于法律、法规和招标文件规定的其他投标无效情形；</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27.比较与评价</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27.1经符合性审查合格的投标文件，评标委员会将根据招标文件确定的评标方法和标准，对其技术部分和商务部分作进一步的比较和评价。</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27.2评标严格按照招标文件的要求和条件进行。根据实际情况，在投标人须知表27.2条中规定采用下列一种评标方法，详细评标标准见第四章 评标方法：</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（1）最低评标价法，是指投标文件满足招标文件全部实质性要求，且投标报价最低的投标人为中标候选人的评标方法。</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（2）综合评分法，是指投标文件满足招标文件全部实质性要求，且按照评审因素的量化指标评审得分最高的投标人为中标候选人的评标方法。</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27.3 根据</w:t>
      </w:r>
      <w:bookmarkStart w:id="86" w:name="_Hlk144366878"/>
      <w:r>
        <w:rPr>
          <w:rFonts w:hint="eastAsia" w:ascii="仿宋_GB2312" w:hAnsi="仿宋_GB2312" w:eastAsia="仿宋_GB2312" w:cs="仿宋_GB2312"/>
          <w:szCs w:val="21"/>
        </w:rPr>
        <w:t>《</w:t>
      </w:r>
      <w:bookmarkEnd w:id="86"/>
      <w:r>
        <w:rPr>
          <w:rFonts w:hint="eastAsia" w:ascii="仿宋_GB2312" w:hAnsi="仿宋_GB2312" w:eastAsia="仿宋_GB2312" w:cs="仿宋_GB2312"/>
          <w:szCs w:val="21"/>
        </w:rPr>
        <w:t>财政部 工业和信息化部关于印发&lt;政府采购促进中小企业发展管理办法&gt;的通知</w:t>
      </w:r>
      <w:bookmarkStart w:id="87" w:name="_Hlk144366900"/>
      <w:r>
        <w:rPr>
          <w:rFonts w:hint="eastAsia" w:ascii="仿宋_GB2312" w:hAnsi="仿宋_GB2312" w:eastAsia="仿宋_GB2312" w:cs="仿宋_GB2312"/>
          <w:szCs w:val="21"/>
        </w:rPr>
        <w:t>》</w:t>
      </w:r>
      <w:bookmarkEnd w:id="87"/>
      <w:bookmarkStart w:id="88" w:name="_Hlk144366945"/>
      <w:r>
        <w:rPr>
          <w:rFonts w:hint="eastAsia" w:ascii="仿宋_GB2312" w:hAnsi="仿宋_GB2312" w:eastAsia="仿宋_GB2312" w:cs="仿宋_GB2312"/>
          <w:szCs w:val="21"/>
        </w:rPr>
        <w:t>（</w:t>
      </w:r>
      <w:bookmarkEnd w:id="88"/>
      <w:r>
        <w:rPr>
          <w:rFonts w:hint="eastAsia" w:ascii="仿宋_GB2312" w:hAnsi="仿宋_GB2312" w:eastAsia="仿宋_GB2312" w:cs="仿宋_GB2312"/>
          <w:szCs w:val="21"/>
        </w:rPr>
        <w:t>财库[2020]46号</w:t>
      </w:r>
      <w:bookmarkStart w:id="89" w:name="_Hlk144366957"/>
      <w:r>
        <w:rPr>
          <w:rFonts w:hint="eastAsia" w:ascii="仿宋_GB2312" w:hAnsi="仿宋_GB2312" w:eastAsia="仿宋_GB2312" w:cs="仿宋_GB2312"/>
          <w:szCs w:val="21"/>
        </w:rPr>
        <w:t>）</w:t>
      </w:r>
      <w:bookmarkEnd w:id="89"/>
      <w:r>
        <w:rPr>
          <w:rFonts w:hint="eastAsia" w:ascii="仿宋_GB2312" w:hAnsi="仿宋_GB2312" w:eastAsia="仿宋_GB2312" w:cs="仿宋_GB2312"/>
          <w:szCs w:val="21"/>
        </w:rPr>
        <w:t xml:space="preserve">、《关于进一步促进政府采购公平竞争支持企业纾困发展的通知》（辽财采〔2022〕119 号）、《财政部 司法部关于政府采购支持监狱企业发展有关问题的通知》（财库〔2014〕68 号）和《三部门联合发布关于促进残疾人就业政府采购政策的通知》（财库〔2017〕141 号）的规定，对于非专门面向中小企业的项目，在满足价格扣除条件且在投标文件中提交了《中小企业声明函》，或省级以上监狱管理局、戒毒管理局（含新疆生产建设兵团）出具的属于监狱企业的证明文件的投标人， 其投标报价扣除 </w:t>
      </w:r>
      <w:r>
        <w:rPr>
          <w:rFonts w:ascii="仿宋_GB2312" w:hAnsi="仿宋_GB2312" w:eastAsia="仿宋_GB2312" w:cs="仿宋_GB2312"/>
          <w:szCs w:val="21"/>
        </w:rPr>
        <w:t>10</w:t>
      </w:r>
      <w:r>
        <w:rPr>
          <w:rFonts w:hint="eastAsia" w:ascii="仿宋_GB2312" w:hAnsi="仿宋_GB2312" w:eastAsia="仿宋_GB2312" w:cs="仿宋_GB2312"/>
          <w:szCs w:val="21"/>
        </w:rPr>
        <w:t>-</w:t>
      </w:r>
      <w:r>
        <w:rPr>
          <w:rFonts w:ascii="仿宋_GB2312" w:hAnsi="仿宋_GB2312" w:eastAsia="仿宋_GB2312" w:cs="仿宋_GB2312"/>
          <w:szCs w:val="21"/>
        </w:rPr>
        <w:t>2</w:t>
      </w:r>
      <w:r>
        <w:rPr>
          <w:rFonts w:hint="eastAsia" w:ascii="仿宋_GB2312" w:hAnsi="仿宋_GB2312" w:eastAsia="仿宋_GB2312" w:cs="仿宋_GB2312"/>
          <w:szCs w:val="21"/>
        </w:rPr>
        <w:t>0%后参与评审。具体详见第四章 评标方法。</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27.4 依据财政部、发展改革委、生态环境部等部门发布的品目清单和国家确定的认证机构出具的、处于有效期之内的节能产品、环境标志产品认证证书实施政府优先采购。具体优先采购办法详见第四章 评标方法。</w:t>
      </w:r>
    </w:p>
    <w:p>
      <w:pPr>
        <w:adjustRightInd w:val="0"/>
        <w:snapToGrid w:val="0"/>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27.5依据财政部 国务院扶贫办《关于运用政府采购政策支持脱贫攻坚的通知》（财库〔2019〕27 号）的规定，对于聘用建档立卡贫困人员物业公司的项目，在满足价格扣除条件且在投标文件中提交了《聘用建档立卡贫困人员物业公司声明函》的投标人，对其投标报价扣除后参与评审。对具体办法详见第四章 评标方法。</w:t>
      </w:r>
    </w:p>
    <w:p>
      <w:pPr>
        <w:adjustRightInd w:val="0"/>
        <w:snapToGrid w:val="0"/>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27.6根据财政部、辽宁省财政厅相关规定，对于列入《辽宁省创新产品和服务目录》内的产品、服务实施政府优先采购。具体优先采购办法详见第四章 评标方法。</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28.废标</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出现下列情形之一，将导致项目</w:t>
      </w:r>
      <w:r>
        <w:rPr>
          <w:rFonts w:hint="eastAsia" w:ascii="仿宋_GB2312" w:hAnsi="仿宋_GB2312" w:eastAsia="仿宋_GB2312" w:cs="仿宋_GB2312"/>
          <w:b/>
          <w:bCs/>
          <w:szCs w:val="21"/>
        </w:rPr>
        <w:t>废标</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（1）符合专业条件的投标人或者对招标文件做实质性响应的投标人不足3家；</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（2）出现影响采购公正的违法、违规行为的；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（3）投标人的报价均超过了采购预算或最高限价，采购人不能支付的；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（4）因重大变故，采购任务取消的。</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29.中标候选人的推荐原则及标准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29.1除第32条规定外，评标委员会将根据评标标准，对实质上响应招标文件的投标人按下列方法进行排序，推荐中标候选人：</w:t>
      </w:r>
    </w:p>
    <w:p>
      <w:pPr>
        <w:adjustRightInd w:val="0"/>
        <w:snapToGrid w:val="0"/>
        <w:spacing w:line="360" w:lineRule="auto"/>
        <w:ind w:firstLine="210" w:firstLineChars="100"/>
        <w:rPr>
          <w:rFonts w:ascii="仿宋_GB2312" w:hAnsi="仿宋_GB2312" w:eastAsia="仿宋_GB2312" w:cs="仿宋_GB2312"/>
          <w:szCs w:val="21"/>
        </w:rPr>
      </w:pPr>
      <w:r>
        <w:rPr>
          <w:rFonts w:hint="eastAsia" w:ascii="仿宋_GB2312" w:hAnsi="仿宋_GB2312" w:eastAsia="仿宋_GB2312" w:cs="仿宋_GB2312"/>
          <w:szCs w:val="21"/>
        </w:rPr>
        <w:t>（1）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pPr>
        <w:adjustRightInd w:val="0"/>
        <w:snapToGrid w:val="0"/>
        <w:spacing w:line="360" w:lineRule="auto"/>
        <w:ind w:firstLine="210" w:firstLineChars="100"/>
        <w:rPr>
          <w:rFonts w:ascii="仿宋_GB2312" w:hAnsi="仿宋_GB2312" w:eastAsia="仿宋_GB2312" w:cs="仿宋_GB2312"/>
          <w:szCs w:val="21"/>
        </w:rPr>
      </w:pPr>
      <w:r>
        <w:rPr>
          <w:rFonts w:hint="eastAsia" w:ascii="仿宋_GB2312" w:hAnsi="仿宋_GB2312" w:eastAsia="仿宋_GB2312" w:cs="仿宋_GB2312"/>
          <w:szCs w:val="21"/>
        </w:rPr>
        <w:t>（2）采用综合评分法的，评标结果按评审后得分由高到低顺序排列。得分相同的，按第四章评标办法规定执行。</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29.2评标委员会将根据评标标准，按投标人须知表29.2条中规定的数量推荐中标候选人。</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29.3因推荐中标候选人名单产生其他问题，由评标委员会集体研究处理。</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30.保密原则</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30.1评标将在严格保密的情况下进行。</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30.2有关人员应当遵守评标工作纪律，不得泄露评审文件、评标情况和评标过程中获悉的国家秘密、商业秘密。</w:t>
      </w:r>
    </w:p>
    <w:p>
      <w:pPr>
        <w:pStyle w:val="3"/>
        <w:rPr>
          <w:rFonts w:ascii="仿宋_GB2312" w:hAnsi="仿宋_GB2312" w:eastAsia="仿宋_GB2312" w:cs="仿宋_GB2312"/>
          <w:sz w:val="32"/>
          <w:szCs w:val="28"/>
        </w:rPr>
      </w:pPr>
      <w:r>
        <w:rPr>
          <w:rFonts w:hint="eastAsia" w:ascii="仿宋_GB2312" w:hAnsi="仿宋_GB2312" w:eastAsia="仿宋_GB2312" w:cs="仿宋_GB2312"/>
          <w:sz w:val="32"/>
          <w:szCs w:val="28"/>
        </w:rPr>
        <w:t>七 确定中标</w:t>
      </w:r>
      <w:bookmarkEnd w:id="85"/>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31.确定中标人</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由采购人或者采购人委托评标委员会按照投标人须知表31中规定的方式确定中标人。</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采购人在收到评标报告5个工作日内未按评标报告推荐的中标候选人顺序确定中标人，又不能说明合法理由的，视同按评标报告推荐的顺序确定排名第一的中标候选人为中标人。</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★32.采购任务取消</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因重大变故采购任务取消时，采购人有权拒绝任何供应商中标，且对受影响的投标人不承担任何责任。</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33.中标通知书</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33.1采购人或者采购代理机构应当自中标人确定之日起2个工作日内，在辽宁政府采购网及其地方分网媒体上公告中标结果。同时向中标人发出中标通知书。</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33.2中标通知书是合同的组成部分。</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34.签订合同</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34.1中标人应当自发出中标通知书之日起 30 日内，与采购人签订书面合同。</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34.2招标文件、中标人的投标文件及其澄清文件等，均为签订合同的依据。所签订的合同不得对招标文件确定的事项和中标人投标文件作实质性修改。采购人不得向中标人提出任何不合理的要求，作为签订合同的条件。</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34.3中标人拒绝与采购人签订合同的，采购人可以按照评标报告推荐的中标候选人名单排序，确定下一中标候选人为中标人，也可以重新开展政府采购活动。</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35.履约保证金</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35.1中标人应按照投标人须知表35.1条规定向采购人缴纳履约保证金。</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35.2 如果中标人没有按照上述履约保证金的规定执行，将视为拒绝签订合同并放弃中标资格，中标人的投标保证金将不予退还。在此情况下，采购人可确定下一中标候选人为中标人，也可以重新开展采购活动。</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36.采购代理服务费</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中标人须按照投标须知表36条规定，向采购代理机构支付采购代理服务费。</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37.廉洁自律规定</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37.1 采购代理机构工作人员不得以不正当手段获取政府采购代理业务，不得与采购人、投标人恶意串通操纵政府采购活动。</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37.2 采购代理机构工作人员不得接受采购人或者投标人组织的宴请、旅游、娱乐，不得收受礼品、现金、有价证券等，不得向采购人或者投标人报销应当由个人承担的费用。</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38.人员回避</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投标人认为采购人及其相关人员有法律法规所列与其他投标人有利害关系的，可以向采购人或采购代理机构书面提出回避申请，并说明理由。</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39.质疑与接收</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39.1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39.2质疑投标人应按照财政部门制定的《政府采购质疑函范本》格式（详见辽宁政府采购网）和《政府采购质疑和投诉办法》的要求，在法定质疑期内以纸质形式提出质疑，针对同一采购程序环节的质疑应一次性提出。</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超出法定质疑期的、重复提出的、分次提出的或内容、形式不符合《政府采购质疑和投诉办法》的，质疑投标人将依法承担不利后果。</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39.3采购代理机构质疑函接收部门、联系电话和通讯地址, 见投标人须知表39.3条。</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40.履约验收</w:t>
      </w:r>
    </w:p>
    <w:p>
      <w:pPr>
        <w:adjustRightInd w:val="0"/>
        <w:snapToGrid w:val="0"/>
        <w:spacing w:line="360" w:lineRule="auto"/>
        <w:ind w:firstLine="420"/>
        <w:rPr>
          <w:rFonts w:ascii="仿宋_GB2312" w:hAnsi="仿宋_GB2312" w:eastAsia="仿宋_GB2312" w:cs="仿宋_GB2312"/>
          <w:szCs w:val="21"/>
        </w:rPr>
      </w:pPr>
      <w:r>
        <w:rPr>
          <w:rFonts w:hint="eastAsia" w:ascii="仿宋_GB2312" w:hAnsi="仿宋_GB2312" w:eastAsia="仿宋_GB2312" w:cs="仿宋_GB2312"/>
          <w:szCs w:val="21"/>
        </w:rPr>
        <w:t>本项目采购人及其委托的采购代理机构将严格按照政府采购相关法律法规以及《辽宁省政府采购履约验收管理办法》（辽财采〔2017〕603号）的要求进行验收。</w:t>
      </w:r>
    </w:p>
    <w:p>
      <w:pPr>
        <w:adjustRightInd w:val="0"/>
        <w:snapToGrid w:val="0"/>
        <w:spacing w:line="360" w:lineRule="auto"/>
        <w:rPr>
          <w:rFonts w:ascii="仿宋_GB2312" w:hAnsi="仿宋_GB2312" w:eastAsia="仿宋_GB2312" w:cs="仿宋_GB2312"/>
          <w:szCs w:val="21"/>
        </w:rPr>
      </w:pPr>
    </w:p>
    <w:p>
      <w:pPr>
        <w:adjustRightInd w:val="0"/>
        <w:snapToGrid w:val="0"/>
        <w:spacing w:line="360" w:lineRule="auto"/>
        <w:rPr>
          <w:rFonts w:ascii="仿宋_GB2312" w:hAnsi="仿宋_GB2312" w:eastAsia="仿宋_GB2312" w:cs="仿宋_GB2312"/>
          <w:szCs w:val="21"/>
        </w:rPr>
      </w:pPr>
    </w:p>
    <w:p>
      <w:pPr>
        <w:adjustRightInd w:val="0"/>
        <w:snapToGrid w:val="0"/>
        <w:spacing w:line="360" w:lineRule="auto"/>
        <w:ind w:firstLine="420"/>
        <w:rPr>
          <w:rFonts w:ascii="仿宋_GB2312" w:hAnsi="仿宋_GB2312" w:eastAsia="仿宋_GB2312" w:cs="仿宋_GB2312"/>
          <w:b/>
        </w:rPr>
        <w:sectPr>
          <w:footerReference r:id="rId5" w:type="default"/>
          <w:pgSz w:w="11906" w:h="16838"/>
          <w:pgMar w:top="1440" w:right="1803" w:bottom="1440" w:left="1803" w:header="851" w:footer="992" w:gutter="0"/>
          <w:pgNumType w:start="1"/>
          <w:cols w:space="720" w:num="1"/>
          <w:docGrid w:type="linesAndChars" w:linePitch="312" w:charSpace="0"/>
        </w:sectPr>
      </w:pPr>
    </w:p>
    <w:p>
      <w:pPr>
        <w:pStyle w:val="2"/>
        <w:snapToGrid w:val="0"/>
        <w:spacing w:before="0" w:after="0"/>
        <w:rPr>
          <w:rFonts w:ascii="仿宋_GB2312" w:hAnsi="仿宋_GB2312" w:eastAsia="仿宋_GB2312" w:cs="仿宋_GB2312"/>
        </w:rPr>
      </w:pPr>
      <w:bookmarkStart w:id="90" w:name="_Toc17725_WPSOffice_Level1"/>
      <w:bookmarkStart w:id="91" w:name="_Toc20672"/>
      <w:bookmarkStart w:id="92" w:name="_Toc13351"/>
      <w:r>
        <w:rPr>
          <w:rFonts w:hint="eastAsia" w:ascii="仿宋_GB2312" w:hAnsi="仿宋_GB2312" w:eastAsia="仿宋_GB2312" w:cs="仿宋_GB2312"/>
        </w:rPr>
        <w:t>第二章 投标文件内容及格式</w:t>
      </w:r>
      <w:bookmarkEnd w:id="90"/>
      <w:bookmarkEnd w:id="91"/>
      <w:bookmarkEnd w:id="92"/>
    </w:p>
    <w:p>
      <w:pPr>
        <w:rPr>
          <w:rFonts w:ascii="仿宋_GB2312" w:hAnsi="仿宋_GB2312" w:eastAsia="仿宋_GB2312" w:cs="仿宋_GB2312"/>
          <w:b/>
          <w:sz w:val="24"/>
        </w:rPr>
      </w:pPr>
      <w:bookmarkStart w:id="93" w:name="sys_投标文件内容及格式：Block"/>
      <w:bookmarkEnd w:id="93"/>
      <w:bookmarkStart w:id="94" w:name="投标文件内容及格式：Block"/>
      <w:bookmarkEnd w:id="94"/>
      <w:bookmarkStart w:id="95" w:name="_Toc1538_WPSOffice_Level2"/>
      <w:bookmarkStart w:id="96" w:name="_Toc2481_WPSOffice_Level2"/>
      <w:r>
        <w:rPr>
          <w:rFonts w:hint="eastAsia" w:ascii="仿宋_GB2312" w:hAnsi="仿宋_GB2312" w:eastAsia="仿宋_GB2312" w:cs="仿宋_GB2312"/>
          <w:b/>
          <w:sz w:val="24"/>
        </w:rPr>
        <w:t>一、投标文件、电子文档的外封面、封口、封皮及目录</w:t>
      </w:r>
      <w:bookmarkEnd w:id="95"/>
      <w:bookmarkEnd w:id="96"/>
    </w:p>
    <w:tbl>
      <w:tblPr>
        <w:tblStyle w:val="12"/>
        <w:tblW w:w="8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6953"/>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blHeader/>
        </w:trPr>
        <w:tc>
          <w:tcPr>
            <w:tcW w:w="677" w:type="dxa"/>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序号</w:t>
            </w:r>
          </w:p>
        </w:tc>
        <w:tc>
          <w:tcPr>
            <w:tcW w:w="6953" w:type="dxa"/>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内容</w:t>
            </w:r>
          </w:p>
        </w:tc>
        <w:tc>
          <w:tcPr>
            <w:tcW w:w="789" w:type="dxa"/>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77"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6953" w:type="dxa"/>
            <w:vAlign w:val="center"/>
          </w:tcPr>
          <w:p>
            <w:pPr>
              <w:widowControl/>
              <w:adjustRightInd w:val="0"/>
              <w:snapToGrid w:val="0"/>
              <w:jc w:val="left"/>
              <w:rPr>
                <w:rFonts w:ascii="仿宋_GB2312" w:hAnsi="仿宋_GB2312" w:eastAsia="仿宋_GB2312" w:cs="仿宋_GB2312"/>
                <w:b/>
                <w:kern w:val="0"/>
                <w:szCs w:val="21"/>
              </w:rPr>
            </w:pPr>
            <w:r>
              <w:rPr>
                <w:rFonts w:hint="eastAsia" w:ascii="仿宋_GB2312" w:hAnsi="仿宋_GB2312" w:eastAsia="仿宋_GB2312" w:cs="仿宋_GB2312"/>
                <w:kern w:val="0"/>
                <w:szCs w:val="21"/>
              </w:rPr>
              <w:t>投标文件、电子文档的外封面及封口</w:t>
            </w:r>
          </w:p>
        </w:tc>
        <w:tc>
          <w:tcPr>
            <w:tcW w:w="789" w:type="dxa"/>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77" w:type="dxa"/>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6953" w:type="dxa"/>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投标文件的封皮</w:t>
            </w:r>
          </w:p>
        </w:tc>
        <w:tc>
          <w:tcPr>
            <w:tcW w:w="789" w:type="dxa"/>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77" w:type="dxa"/>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6953" w:type="dxa"/>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投标文件的目录</w:t>
            </w:r>
          </w:p>
        </w:tc>
        <w:tc>
          <w:tcPr>
            <w:tcW w:w="789" w:type="dxa"/>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r>
    </w:tbl>
    <w:p>
      <w:pPr>
        <w:snapToGrid w:val="0"/>
        <w:spacing w:before="159" w:beforeLines="50"/>
        <w:rPr>
          <w:rFonts w:ascii="仿宋_GB2312" w:hAnsi="仿宋_GB2312" w:eastAsia="仿宋_GB2312" w:cs="仿宋_GB2312"/>
          <w:b/>
          <w:sz w:val="24"/>
        </w:rPr>
      </w:pPr>
      <w:bookmarkStart w:id="97" w:name="_Toc31052_WPSOffice_Level2"/>
      <w:bookmarkStart w:id="98" w:name="_Toc1266_WPSOffice_Level2"/>
      <w:r>
        <w:rPr>
          <w:rFonts w:hint="eastAsia" w:ascii="仿宋_GB2312" w:hAnsi="仿宋_GB2312" w:eastAsia="仿宋_GB2312" w:cs="仿宋_GB2312"/>
          <w:b/>
          <w:sz w:val="24"/>
        </w:rPr>
        <w:t>二、资格证明材料</w:t>
      </w:r>
      <w:bookmarkEnd w:id="97"/>
      <w:bookmarkEnd w:id="98"/>
      <w:r>
        <w:rPr>
          <w:rFonts w:hint="eastAsia" w:ascii="仿宋_GB2312" w:hAnsi="仿宋_GB2312" w:eastAsia="仿宋_GB2312" w:cs="仿宋_GB2312"/>
          <w:b/>
          <w:sz w:val="24"/>
        </w:rPr>
        <w:t>（有一项不符合要求，不能进入下一阶段评审）</w:t>
      </w:r>
    </w:p>
    <w:tbl>
      <w:tblPr>
        <w:tblStyle w:val="12"/>
        <w:tblW w:w="8339" w:type="dxa"/>
        <w:tblInd w:w="0" w:type="dxa"/>
        <w:tblLayout w:type="fixed"/>
        <w:tblCellMar>
          <w:top w:w="0" w:type="dxa"/>
          <w:left w:w="0" w:type="dxa"/>
          <w:bottom w:w="0" w:type="dxa"/>
          <w:right w:w="0" w:type="dxa"/>
        </w:tblCellMar>
      </w:tblPr>
      <w:tblGrid>
        <w:gridCol w:w="666"/>
        <w:gridCol w:w="6924"/>
        <w:gridCol w:w="749"/>
      </w:tblGrid>
      <w:tr>
        <w:tblPrEx>
          <w:tblCellMar>
            <w:top w:w="0" w:type="dxa"/>
            <w:left w:w="0" w:type="dxa"/>
            <w:bottom w:w="0" w:type="dxa"/>
            <w:right w:w="0" w:type="dxa"/>
          </w:tblCellMar>
        </w:tblPrEx>
        <w:trPr>
          <w:trHeight w:val="312" w:hRule="atLeast"/>
          <w:tblHeader/>
        </w:trPr>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bookmarkStart w:id="99" w:name="sys_资格性证明材料：Document"/>
            <w:bookmarkStart w:id="100" w:name="资格性证明材料：Document"/>
            <w:r>
              <w:rPr>
                <w:rFonts w:hint="eastAsia" w:ascii="仿宋_GB2312" w:hAnsi="仿宋_GB2312" w:eastAsia="仿宋_GB2312" w:cs="仿宋_GB2312"/>
                <w:szCs w:val="21"/>
              </w:rPr>
              <w:t>序号</w:t>
            </w:r>
          </w:p>
        </w:tc>
        <w:tc>
          <w:tcPr>
            <w:tcW w:w="69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资格性证明材料</w:t>
            </w:r>
          </w:p>
        </w:tc>
        <w:tc>
          <w:tcPr>
            <w:tcW w:w="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格式</w:t>
            </w:r>
          </w:p>
        </w:tc>
      </w:tr>
      <w:tr>
        <w:tblPrEx>
          <w:tblCellMar>
            <w:top w:w="0" w:type="dxa"/>
            <w:left w:w="0" w:type="dxa"/>
            <w:bottom w:w="0" w:type="dxa"/>
            <w:right w:w="0" w:type="dxa"/>
          </w:tblCellMar>
        </w:tblPrEx>
        <w:trPr>
          <w:trHeight w:val="321" w:hRule="atLeast"/>
        </w:trPr>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营业执照或事业单位法人证书或执业许可证等证明文件复印件</w:t>
            </w:r>
          </w:p>
        </w:tc>
        <w:tc>
          <w:tcPr>
            <w:tcW w:w="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p>
        </w:tc>
      </w:tr>
      <w:tr>
        <w:tblPrEx>
          <w:tblCellMar>
            <w:top w:w="0" w:type="dxa"/>
            <w:left w:w="0" w:type="dxa"/>
            <w:bottom w:w="0" w:type="dxa"/>
            <w:right w:w="0" w:type="dxa"/>
          </w:tblCellMar>
        </w:tblPrEx>
        <w:trPr>
          <w:trHeight w:val="282" w:hRule="atLeast"/>
        </w:trPr>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r>
              <w:rPr>
                <w:rFonts w:ascii="仿宋_GB2312" w:hAnsi="仿宋_GB2312" w:eastAsia="仿宋_GB2312" w:cs="仿宋_GB2312"/>
                <w:szCs w:val="21"/>
              </w:rPr>
              <w:t>2</w:t>
            </w:r>
          </w:p>
        </w:tc>
        <w:tc>
          <w:tcPr>
            <w:tcW w:w="69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法定代表人（或非法人组织负责人）身份证明书</w:t>
            </w:r>
          </w:p>
        </w:tc>
        <w:tc>
          <w:tcPr>
            <w:tcW w:w="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4</w:t>
            </w:r>
          </w:p>
        </w:tc>
      </w:tr>
      <w:tr>
        <w:tblPrEx>
          <w:tblCellMar>
            <w:top w:w="0" w:type="dxa"/>
            <w:left w:w="0" w:type="dxa"/>
            <w:bottom w:w="0" w:type="dxa"/>
            <w:right w:w="0" w:type="dxa"/>
          </w:tblCellMar>
        </w:tblPrEx>
        <w:trPr>
          <w:trHeight w:val="557" w:hRule="atLeast"/>
        </w:trPr>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r>
              <w:rPr>
                <w:rFonts w:ascii="仿宋_GB2312" w:hAnsi="仿宋_GB2312" w:eastAsia="仿宋_GB2312" w:cs="仿宋_GB2312"/>
                <w:szCs w:val="21"/>
              </w:rPr>
              <w:t>3</w:t>
            </w:r>
          </w:p>
        </w:tc>
        <w:tc>
          <w:tcPr>
            <w:tcW w:w="69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法定代表人（或非法人组织负责人）授权委托书（授权委托人参加投标的须提供）</w:t>
            </w:r>
          </w:p>
        </w:tc>
        <w:tc>
          <w:tcPr>
            <w:tcW w:w="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5</w:t>
            </w:r>
          </w:p>
        </w:tc>
      </w:tr>
      <w:tr>
        <w:tblPrEx>
          <w:tblCellMar>
            <w:top w:w="0" w:type="dxa"/>
            <w:left w:w="0" w:type="dxa"/>
            <w:bottom w:w="0" w:type="dxa"/>
            <w:right w:w="0" w:type="dxa"/>
          </w:tblCellMar>
        </w:tblPrEx>
        <w:trPr>
          <w:trHeight w:val="267" w:hRule="atLeast"/>
        </w:trPr>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r>
              <w:rPr>
                <w:rFonts w:ascii="仿宋_GB2312" w:hAnsi="仿宋_GB2312" w:eastAsia="仿宋_GB2312" w:cs="仿宋_GB2312"/>
                <w:szCs w:val="21"/>
              </w:rPr>
              <w:t>4</w:t>
            </w:r>
          </w:p>
        </w:tc>
        <w:tc>
          <w:tcPr>
            <w:tcW w:w="69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具有良好的商业信誉和健全的财务会计制度的承诺函</w:t>
            </w:r>
          </w:p>
        </w:tc>
        <w:tc>
          <w:tcPr>
            <w:tcW w:w="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6</w:t>
            </w:r>
          </w:p>
        </w:tc>
      </w:tr>
      <w:tr>
        <w:tblPrEx>
          <w:tblCellMar>
            <w:top w:w="0" w:type="dxa"/>
            <w:left w:w="0" w:type="dxa"/>
            <w:bottom w:w="0" w:type="dxa"/>
            <w:right w:w="0" w:type="dxa"/>
          </w:tblCellMar>
        </w:tblPrEx>
        <w:trPr>
          <w:trHeight w:val="840" w:hRule="atLeast"/>
        </w:trPr>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r>
              <w:rPr>
                <w:rFonts w:ascii="仿宋_GB2312" w:hAnsi="仿宋_GB2312" w:eastAsia="仿宋_GB2312" w:cs="仿宋_GB2312"/>
                <w:szCs w:val="21"/>
              </w:rPr>
              <w:t>5</w:t>
            </w:r>
          </w:p>
        </w:tc>
        <w:tc>
          <w:tcPr>
            <w:tcW w:w="69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开标时间前六个月内任一个月的依法缴纳税收的缴款凭据复印件</w:t>
            </w:r>
          </w:p>
          <w:p>
            <w:pPr>
              <w:adjustRightInd w:val="0"/>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（注：依法免税的投标人，应提供相关证明材料，包括相关法规要求原文及加盖公章的情况说明）</w:t>
            </w:r>
          </w:p>
        </w:tc>
        <w:tc>
          <w:tcPr>
            <w:tcW w:w="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p>
        </w:tc>
      </w:tr>
      <w:tr>
        <w:tblPrEx>
          <w:tblCellMar>
            <w:top w:w="0" w:type="dxa"/>
            <w:left w:w="0" w:type="dxa"/>
            <w:bottom w:w="0" w:type="dxa"/>
            <w:right w:w="0" w:type="dxa"/>
          </w:tblCellMar>
        </w:tblPrEx>
        <w:trPr>
          <w:trHeight w:val="973" w:hRule="atLeast"/>
        </w:trPr>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r>
              <w:rPr>
                <w:rFonts w:ascii="仿宋_GB2312" w:hAnsi="仿宋_GB2312" w:eastAsia="仿宋_GB2312" w:cs="仿宋_GB2312"/>
                <w:szCs w:val="21"/>
              </w:rPr>
              <w:t>6</w:t>
            </w:r>
          </w:p>
        </w:tc>
        <w:tc>
          <w:tcPr>
            <w:tcW w:w="69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开标时间前六个月内任一个月的依法缴纳社会保障资金的缴款凭据复印件（注：依法不需要缴纳社会保障资金的投标人，应提供相关证明材料，包括相关法规要求原文及加盖公章的情况说明）</w:t>
            </w:r>
          </w:p>
        </w:tc>
        <w:tc>
          <w:tcPr>
            <w:tcW w:w="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p>
        </w:tc>
      </w:tr>
      <w:tr>
        <w:tblPrEx>
          <w:tblCellMar>
            <w:top w:w="0" w:type="dxa"/>
            <w:left w:w="0" w:type="dxa"/>
            <w:bottom w:w="0" w:type="dxa"/>
            <w:right w:w="0" w:type="dxa"/>
          </w:tblCellMar>
        </w:tblPrEx>
        <w:trPr>
          <w:trHeight w:val="312" w:hRule="atLeast"/>
        </w:trPr>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r>
              <w:rPr>
                <w:rFonts w:ascii="仿宋_GB2312" w:hAnsi="仿宋_GB2312" w:eastAsia="仿宋_GB2312" w:cs="仿宋_GB2312"/>
                <w:szCs w:val="21"/>
              </w:rPr>
              <w:t>7</w:t>
            </w:r>
          </w:p>
        </w:tc>
        <w:tc>
          <w:tcPr>
            <w:tcW w:w="69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具备履行合同所必需的设备和专业技术能力声明函</w:t>
            </w:r>
          </w:p>
        </w:tc>
        <w:tc>
          <w:tcPr>
            <w:tcW w:w="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7</w:t>
            </w:r>
          </w:p>
        </w:tc>
      </w:tr>
      <w:tr>
        <w:tblPrEx>
          <w:tblCellMar>
            <w:top w:w="0" w:type="dxa"/>
            <w:left w:w="0" w:type="dxa"/>
            <w:bottom w:w="0" w:type="dxa"/>
            <w:right w:w="0" w:type="dxa"/>
          </w:tblCellMar>
        </w:tblPrEx>
        <w:trPr>
          <w:trHeight w:val="245" w:hRule="atLeast"/>
        </w:trPr>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r>
              <w:rPr>
                <w:rFonts w:ascii="仿宋_GB2312" w:hAnsi="仿宋_GB2312" w:eastAsia="仿宋_GB2312" w:cs="仿宋_GB2312"/>
                <w:szCs w:val="21"/>
              </w:rPr>
              <w:t>8</w:t>
            </w:r>
          </w:p>
        </w:tc>
        <w:tc>
          <w:tcPr>
            <w:tcW w:w="69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参加政府采购活动前3年内在经营活动中没有重大违法记录的书面声明</w:t>
            </w:r>
          </w:p>
        </w:tc>
        <w:tc>
          <w:tcPr>
            <w:tcW w:w="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8</w:t>
            </w:r>
          </w:p>
        </w:tc>
      </w:tr>
      <w:tr>
        <w:tblPrEx>
          <w:tblCellMar>
            <w:top w:w="0" w:type="dxa"/>
            <w:left w:w="0" w:type="dxa"/>
            <w:bottom w:w="0" w:type="dxa"/>
            <w:right w:w="0" w:type="dxa"/>
          </w:tblCellMar>
        </w:tblPrEx>
        <w:trPr>
          <w:trHeight w:val="391" w:hRule="atLeast"/>
        </w:trPr>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r>
              <w:rPr>
                <w:rFonts w:ascii="仿宋_GB2312" w:hAnsi="仿宋_GB2312" w:eastAsia="仿宋_GB2312" w:cs="仿宋_GB2312"/>
                <w:szCs w:val="21"/>
              </w:rPr>
              <w:t>9</w:t>
            </w:r>
          </w:p>
        </w:tc>
        <w:tc>
          <w:tcPr>
            <w:tcW w:w="69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其它资格证明文件（如适用，按投标人须知表1.3.4要求描述）</w:t>
            </w:r>
          </w:p>
        </w:tc>
        <w:tc>
          <w:tcPr>
            <w:tcW w:w="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p>
        </w:tc>
      </w:tr>
      <w:tr>
        <w:tblPrEx>
          <w:tblCellMar>
            <w:top w:w="0" w:type="dxa"/>
            <w:left w:w="0" w:type="dxa"/>
            <w:bottom w:w="0" w:type="dxa"/>
            <w:right w:w="0" w:type="dxa"/>
          </w:tblCellMar>
        </w:tblPrEx>
        <w:trPr>
          <w:trHeight w:val="552" w:hRule="atLeast"/>
        </w:trPr>
        <w:tc>
          <w:tcPr>
            <w:tcW w:w="6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w:t>
            </w:r>
            <w:r>
              <w:rPr>
                <w:rFonts w:ascii="仿宋_GB2312" w:hAnsi="仿宋_GB2312" w:eastAsia="仿宋_GB2312" w:cs="仿宋_GB2312"/>
                <w:szCs w:val="21"/>
              </w:rPr>
              <w:t>0</w:t>
            </w:r>
          </w:p>
        </w:tc>
        <w:tc>
          <w:tcPr>
            <w:tcW w:w="69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信用记录（采购人或采购代理机构将按照招标文件规定的审查期间内进行查询）</w:t>
            </w:r>
          </w:p>
        </w:tc>
        <w:tc>
          <w:tcPr>
            <w:tcW w:w="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仿宋_GB2312" w:hAnsi="仿宋_GB2312" w:eastAsia="仿宋_GB2312" w:cs="仿宋_GB2312"/>
                <w:szCs w:val="21"/>
              </w:rPr>
            </w:pPr>
          </w:p>
        </w:tc>
      </w:tr>
    </w:tbl>
    <w:p>
      <w:pPr>
        <w:snapToGrid w:val="0"/>
        <w:spacing w:before="159" w:beforeLines="50"/>
        <w:rPr>
          <w:rFonts w:ascii="仿宋_GB2312" w:hAnsi="仿宋_GB2312" w:eastAsia="仿宋_GB2312" w:cs="仿宋_GB2312"/>
          <w:b/>
          <w:sz w:val="24"/>
        </w:rPr>
      </w:pPr>
      <w:bookmarkStart w:id="101" w:name="_Toc25206_WPSOffice_Level2"/>
      <w:bookmarkStart w:id="102" w:name="_Toc22359_WPSOffice_Level2"/>
      <w:r>
        <w:rPr>
          <w:rFonts w:hint="eastAsia" w:ascii="仿宋_GB2312" w:hAnsi="仿宋_GB2312" w:eastAsia="仿宋_GB2312" w:cs="仿宋_GB2312"/>
          <w:b/>
          <w:sz w:val="24"/>
        </w:rPr>
        <w:t>三、符合性证明材料</w:t>
      </w:r>
      <w:bookmarkEnd w:id="101"/>
      <w:bookmarkEnd w:id="102"/>
      <w:r>
        <w:rPr>
          <w:rFonts w:hint="eastAsia" w:ascii="仿宋_GB2312" w:hAnsi="仿宋_GB2312" w:eastAsia="仿宋_GB2312" w:cs="仿宋_GB2312"/>
          <w:b/>
          <w:sz w:val="24"/>
        </w:rPr>
        <w:t>（有一项不符合要求，不能进入下一阶段评审）</w:t>
      </w:r>
    </w:p>
    <w:bookmarkEnd w:id="99"/>
    <w:bookmarkEnd w:id="100"/>
    <w:tbl>
      <w:tblPr>
        <w:tblStyle w:val="12"/>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6957"/>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blHeader/>
        </w:trPr>
        <w:tc>
          <w:tcPr>
            <w:tcW w:w="682"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序号</w:t>
            </w:r>
          </w:p>
        </w:tc>
        <w:tc>
          <w:tcPr>
            <w:tcW w:w="6957"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符合性证明材料</w:t>
            </w:r>
          </w:p>
        </w:tc>
        <w:tc>
          <w:tcPr>
            <w:tcW w:w="770"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682"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6957"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投标函</w:t>
            </w:r>
          </w:p>
        </w:tc>
        <w:tc>
          <w:tcPr>
            <w:tcW w:w="770"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682"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6957"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递交投标保证金证明材料复印件</w:t>
            </w:r>
          </w:p>
        </w:tc>
        <w:tc>
          <w:tcPr>
            <w:tcW w:w="770" w:type="dxa"/>
            <w:vAlign w:val="center"/>
          </w:tcPr>
          <w:p>
            <w:pPr>
              <w:adjustRightInd w:val="0"/>
              <w:snapToGrid w:val="0"/>
              <w:jc w:val="center"/>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682"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6957"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开标一览表</w:t>
            </w:r>
          </w:p>
        </w:tc>
        <w:tc>
          <w:tcPr>
            <w:tcW w:w="770"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682"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w:t>
            </w:r>
          </w:p>
        </w:tc>
        <w:tc>
          <w:tcPr>
            <w:tcW w:w="6957"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服务价格明细表</w:t>
            </w:r>
          </w:p>
        </w:tc>
        <w:tc>
          <w:tcPr>
            <w:tcW w:w="770"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682"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w:t>
            </w:r>
          </w:p>
        </w:tc>
        <w:tc>
          <w:tcPr>
            <w:tcW w:w="6957"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服务需求响应表</w:t>
            </w:r>
          </w:p>
        </w:tc>
        <w:tc>
          <w:tcPr>
            <w:tcW w:w="770"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682"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6</w:t>
            </w:r>
          </w:p>
        </w:tc>
        <w:tc>
          <w:tcPr>
            <w:tcW w:w="6957"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商务条款偏离表</w:t>
            </w:r>
          </w:p>
        </w:tc>
        <w:tc>
          <w:tcPr>
            <w:tcW w:w="770"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682"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7</w:t>
            </w:r>
          </w:p>
        </w:tc>
        <w:tc>
          <w:tcPr>
            <w:tcW w:w="6957"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投标人关联单位说明</w:t>
            </w:r>
          </w:p>
        </w:tc>
        <w:tc>
          <w:tcPr>
            <w:tcW w:w="770"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682" w:type="dxa"/>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w:t>
            </w:r>
          </w:p>
        </w:tc>
        <w:tc>
          <w:tcPr>
            <w:tcW w:w="6957" w:type="dxa"/>
            <w:vAlign w:val="center"/>
          </w:tcPr>
          <w:p>
            <w:pPr>
              <w:spacing w:line="360" w:lineRule="exact"/>
              <w:rPr>
                <w:rFonts w:hint="eastAsia" w:ascii="仿宋" w:hAnsi="仿宋" w:cs="仿宋"/>
                <w:kern w:val="0"/>
                <w:szCs w:val="21"/>
              </w:rPr>
            </w:pPr>
            <w:r>
              <w:rPr>
                <w:rFonts w:hint="eastAsia" w:ascii="仿宋" w:hAnsi="仿宋" w:cs="仿宋"/>
                <w:kern w:val="0"/>
                <w:szCs w:val="21"/>
              </w:rPr>
              <w:t>备份文件与电子评审系统中上传的投标（响应）文件一致性承诺函</w:t>
            </w:r>
          </w:p>
        </w:tc>
        <w:tc>
          <w:tcPr>
            <w:tcW w:w="770" w:type="dxa"/>
            <w:vAlign w:val="center"/>
          </w:tcPr>
          <w:p>
            <w:pPr>
              <w:adjustRightInd w:val="0"/>
              <w:snapToGrid w:val="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w:t>
            </w:r>
            <w:r>
              <w:rPr>
                <w:rFonts w:ascii="仿宋_GB2312" w:hAnsi="仿宋_GB2312" w:eastAsia="仿宋_GB2312" w:cs="仿宋_GB2312"/>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682" w:type="dxa"/>
            <w:vAlign w:val="center"/>
          </w:tcPr>
          <w:p>
            <w:pPr>
              <w:adjustRightInd w:val="0"/>
              <w:snapToGrid w:val="0"/>
              <w:jc w:val="center"/>
              <w:rPr>
                <w:rFonts w:ascii="仿宋_GB2312" w:hAnsi="仿宋_GB2312" w:eastAsia="仿宋_GB2312" w:cs="仿宋_GB2312"/>
                <w:szCs w:val="21"/>
              </w:rPr>
            </w:pPr>
            <w:r>
              <w:rPr>
                <w:rFonts w:ascii="仿宋_GB2312" w:hAnsi="仿宋_GB2312" w:eastAsia="仿宋_GB2312" w:cs="仿宋_GB2312"/>
                <w:kern w:val="0"/>
                <w:szCs w:val="21"/>
              </w:rPr>
              <w:t>9</w:t>
            </w:r>
          </w:p>
        </w:tc>
        <w:tc>
          <w:tcPr>
            <w:tcW w:w="6957" w:type="dxa"/>
            <w:vAlign w:val="center"/>
          </w:tcPr>
          <w:p>
            <w:pPr>
              <w:adjustRightInd w:val="0"/>
              <w:snapToGrid w:val="0"/>
              <w:rPr>
                <w:rFonts w:ascii="仿宋_GB2312" w:hAnsi="仿宋_GB2312" w:eastAsia="仿宋_GB2312" w:cs="仿宋_GB2312"/>
                <w:b/>
                <w:szCs w:val="21"/>
              </w:rPr>
            </w:pPr>
            <w:r>
              <w:rPr>
                <w:rFonts w:hint="eastAsia" w:ascii="仿宋_GB2312" w:hAnsi="仿宋_GB2312" w:eastAsia="仿宋_GB2312" w:cs="仿宋_GB2312"/>
                <w:kern w:val="0"/>
                <w:szCs w:val="21"/>
              </w:rPr>
              <w:t>其他符合性证明材料</w:t>
            </w:r>
          </w:p>
        </w:tc>
        <w:tc>
          <w:tcPr>
            <w:tcW w:w="770" w:type="dxa"/>
            <w:vAlign w:val="center"/>
          </w:tcPr>
          <w:p>
            <w:pPr>
              <w:adjustRightInd w:val="0"/>
              <w:snapToGrid w:val="0"/>
              <w:jc w:val="center"/>
              <w:rPr>
                <w:rFonts w:ascii="仿宋_GB2312" w:hAnsi="仿宋_GB2312" w:eastAsia="仿宋_GB2312" w:cs="仿宋_GB2312"/>
                <w:kern w:val="0"/>
                <w:szCs w:val="21"/>
              </w:rPr>
            </w:pPr>
          </w:p>
        </w:tc>
      </w:tr>
    </w:tbl>
    <w:p>
      <w:pPr>
        <w:snapToGrid w:val="0"/>
        <w:spacing w:before="159" w:beforeLines="50"/>
        <w:rPr>
          <w:rFonts w:ascii="仿宋_GB2312" w:hAnsi="仿宋_GB2312" w:eastAsia="仿宋_GB2312" w:cs="仿宋_GB2312"/>
          <w:b/>
          <w:sz w:val="24"/>
        </w:rPr>
      </w:pPr>
      <w:bookmarkStart w:id="103" w:name="_Toc27769_WPSOffice_Level2"/>
      <w:bookmarkStart w:id="104" w:name="_Toc24432_WPSOffice_Level2"/>
    </w:p>
    <w:p>
      <w:pPr>
        <w:snapToGrid w:val="0"/>
        <w:spacing w:before="159" w:beforeLines="50"/>
        <w:rPr>
          <w:rFonts w:ascii="仿宋_GB2312" w:hAnsi="仿宋_GB2312" w:eastAsia="仿宋_GB2312" w:cs="仿宋_GB2312"/>
          <w:b/>
          <w:sz w:val="24"/>
        </w:rPr>
      </w:pPr>
      <w:r>
        <w:rPr>
          <w:rFonts w:hint="eastAsia" w:ascii="仿宋_GB2312" w:hAnsi="仿宋_GB2312" w:eastAsia="仿宋_GB2312" w:cs="仿宋_GB2312"/>
          <w:b/>
          <w:sz w:val="24"/>
        </w:rPr>
        <w:t>四、其他材料</w:t>
      </w:r>
      <w:bookmarkEnd w:id="103"/>
      <w:bookmarkEnd w:id="104"/>
      <w:r>
        <w:rPr>
          <w:rFonts w:hint="eastAsia" w:ascii="仿宋_GB2312" w:hAnsi="仿宋_GB2312" w:eastAsia="仿宋_GB2312" w:cs="仿宋_GB2312"/>
          <w:b/>
          <w:sz w:val="24"/>
        </w:rPr>
        <w:t>（如有，请提供；如未提供，投标文件不作无效处理）</w:t>
      </w:r>
    </w:p>
    <w:tbl>
      <w:tblPr>
        <w:tblStyle w:val="12"/>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6957"/>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blHeader/>
        </w:trPr>
        <w:tc>
          <w:tcPr>
            <w:tcW w:w="682"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序号</w:t>
            </w:r>
          </w:p>
        </w:tc>
        <w:tc>
          <w:tcPr>
            <w:tcW w:w="6957"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其他材料</w:t>
            </w:r>
          </w:p>
        </w:tc>
        <w:tc>
          <w:tcPr>
            <w:tcW w:w="770"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82"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6957" w:type="dxa"/>
            <w:vAlign w:val="center"/>
          </w:tcPr>
          <w:p>
            <w:pPr>
              <w:adjustRightInd w:val="0"/>
              <w:snapToGrid w:val="0"/>
              <w:ind w:left="25" w:leftChars="12"/>
              <w:rPr>
                <w:rFonts w:ascii="仿宋_GB2312" w:hAnsi="仿宋_GB2312" w:eastAsia="仿宋_GB2312" w:cs="仿宋_GB2312"/>
                <w:kern w:val="0"/>
                <w:szCs w:val="21"/>
              </w:rPr>
            </w:pPr>
            <w:r>
              <w:rPr>
                <w:rFonts w:hint="eastAsia" w:ascii="仿宋_GB2312" w:hAnsi="仿宋_GB2312" w:eastAsia="仿宋_GB2312" w:cs="仿宋_GB2312"/>
                <w:kern w:val="0"/>
                <w:szCs w:val="21"/>
              </w:rPr>
              <w:t>监狱企业证明文件</w:t>
            </w:r>
          </w:p>
        </w:tc>
        <w:tc>
          <w:tcPr>
            <w:tcW w:w="770" w:type="dxa"/>
            <w:vAlign w:val="center"/>
          </w:tcPr>
          <w:p>
            <w:pPr>
              <w:adjustRightInd w:val="0"/>
              <w:snapToGrid w:val="0"/>
              <w:jc w:val="center"/>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82"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6957" w:type="dxa"/>
            <w:vAlign w:val="center"/>
          </w:tcPr>
          <w:p>
            <w:pPr>
              <w:adjustRightInd w:val="0"/>
              <w:snapToGrid w:val="0"/>
              <w:ind w:left="25" w:leftChars="12"/>
              <w:rPr>
                <w:rFonts w:ascii="仿宋_GB2312" w:hAnsi="仿宋_GB2312" w:eastAsia="仿宋_GB2312" w:cs="仿宋_GB2312"/>
                <w:kern w:val="0"/>
                <w:szCs w:val="21"/>
              </w:rPr>
            </w:pPr>
            <w:r>
              <w:rPr>
                <w:rFonts w:hint="eastAsia" w:ascii="仿宋_GB2312" w:hAnsi="仿宋_GB2312" w:eastAsia="仿宋_GB2312" w:cs="仿宋_GB2312"/>
                <w:kern w:val="0"/>
                <w:szCs w:val="21"/>
              </w:rPr>
              <w:t>中小企业声明函</w:t>
            </w:r>
          </w:p>
        </w:tc>
        <w:tc>
          <w:tcPr>
            <w:tcW w:w="770"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r>
              <w:rPr>
                <w:rFonts w:ascii="仿宋_GB2312" w:hAnsi="仿宋_GB2312" w:eastAsia="仿宋_GB2312" w:cs="仿宋_GB2312"/>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82"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w:t>
            </w:r>
          </w:p>
        </w:tc>
        <w:tc>
          <w:tcPr>
            <w:tcW w:w="6957" w:type="dxa"/>
            <w:vAlign w:val="center"/>
          </w:tcPr>
          <w:p>
            <w:pPr>
              <w:adjustRightInd w:val="0"/>
              <w:snapToGrid w:val="0"/>
              <w:ind w:left="25" w:leftChars="12"/>
              <w:rPr>
                <w:rFonts w:ascii="仿宋_GB2312" w:hAnsi="仿宋_GB2312" w:eastAsia="仿宋_GB2312" w:cs="仿宋_GB2312"/>
                <w:szCs w:val="21"/>
              </w:rPr>
            </w:pPr>
            <w:r>
              <w:rPr>
                <w:rFonts w:hint="eastAsia" w:ascii="仿宋_GB2312" w:hAnsi="仿宋_GB2312" w:eastAsia="仿宋_GB2312" w:cs="仿宋_GB2312"/>
                <w:szCs w:val="21"/>
              </w:rPr>
              <w:t>残疾人福利性单位声明函</w:t>
            </w:r>
          </w:p>
        </w:tc>
        <w:tc>
          <w:tcPr>
            <w:tcW w:w="770"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82" w:type="dxa"/>
            <w:vAlign w:val="center"/>
          </w:tcPr>
          <w:p>
            <w:pPr>
              <w:adjustRightInd w:val="0"/>
              <w:snapToGrid w:val="0"/>
              <w:jc w:val="center"/>
              <w:rPr>
                <w:rFonts w:hint="eastAsia" w:ascii="仿宋_GB2312" w:hAnsi="仿宋_GB2312" w:eastAsia="仿宋_GB2312" w:cs="仿宋_GB2312"/>
                <w:kern w:val="0"/>
                <w:szCs w:val="21"/>
              </w:rPr>
            </w:pPr>
            <w:r>
              <w:rPr>
                <w:rFonts w:ascii="仿宋_GB2312" w:hAnsi="仿宋_GB2312" w:eastAsia="仿宋_GB2312" w:cs="仿宋_GB2312"/>
                <w:kern w:val="0"/>
                <w:szCs w:val="21"/>
              </w:rPr>
              <w:t>5</w:t>
            </w:r>
          </w:p>
        </w:tc>
        <w:tc>
          <w:tcPr>
            <w:tcW w:w="6957" w:type="dxa"/>
            <w:vAlign w:val="center"/>
          </w:tcPr>
          <w:p>
            <w:pPr>
              <w:adjustRightInd w:val="0"/>
              <w:snapToGrid w:val="0"/>
              <w:ind w:left="25" w:leftChars="12"/>
              <w:rPr>
                <w:rFonts w:ascii="仿宋_GB2312" w:hAnsi="仿宋_GB2312" w:eastAsia="仿宋_GB2312" w:cs="仿宋_GB2312"/>
                <w:szCs w:val="21"/>
              </w:rPr>
            </w:pPr>
            <w:r>
              <w:rPr>
                <w:rFonts w:hint="eastAsia" w:ascii="仿宋_GB2312" w:hAnsi="仿宋_GB2312" w:eastAsia="仿宋_GB2312" w:cs="仿宋_GB2312"/>
                <w:szCs w:val="21"/>
              </w:rPr>
              <w:t>列入《辽宁省创新产品和服务目录》内的产品、服务的证明材料（如适用）</w:t>
            </w:r>
          </w:p>
          <w:p>
            <w:pPr>
              <w:adjustRightInd w:val="0"/>
              <w:snapToGrid w:val="0"/>
              <w:ind w:left="25" w:leftChars="12"/>
              <w:rPr>
                <w:rFonts w:hint="eastAsia" w:ascii="仿宋_GB2312" w:hAnsi="仿宋_GB2312" w:eastAsia="仿宋_GB2312" w:cs="仿宋_GB2312"/>
                <w:szCs w:val="21"/>
              </w:rPr>
            </w:pPr>
            <w:r>
              <w:rPr>
                <w:rFonts w:hint="eastAsia" w:ascii="仿宋_GB2312" w:hAnsi="仿宋_GB2312" w:eastAsia="仿宋_GB2312" w:cs="仿宋_GB2312"/>
                <w:szCs w:val="21"/>
              </w:rPr>
              <w:t>（此项要求可视实际情况设置在符合性证明材料或其他材料中）</w:t>
            </w:r>
          </w:p>
        </w:tc>
        <w:tc>
          <w:tcPr>
            <w:tcW w:w="770" w:type="dxa"/>
            <w:vAlign w:val="center"/>
          </w:tcPr>
          <w:p>
            <w:pPr>
              <w:adjustRightInd w:val="0"/>
              <w:snapToGrid w:val="0"/>
              <w:jc w:val="center"/>
              <w:rPr>
                <w:rFonts w:hint="eastAsia" w:ascii="仿宋_GB2312" w:hAnsi="仿宋_GB2312" w:eastAsia="仿宋_GB2312" w:cs="仿宋_GB2312"/>
                <w:kern w:val="0"/>
                <w:szCs w:val="21"/>
              </w:rPr>
            </w:pPr>
          </w:p>
        </w:tc>
      </w:tr>
    </w:tbl>
    <w:p>
      <w:pPr>
        <w:adjustRightInd w:val="0"/>
        <w:snapToGrid w:val="0"/>
        <w:spacing w:line="300" w:lineRule="exact"/>
        <w:ind w:firstLine="480" w:firstLineChars="200"/>
        <w:rPr>
          <w:rFonts w:ascii="仿宋_GB2312" w:hAnsi="仿宋_GB2312" w:eastAsia="仿宋_GB2312" w:cs="仿宋_GB2312"/>
          <w:b/>
          <w:sz w:val="24"/>
        </w:rPr>
      </w:pPr>
      <w:r>
        <w:rPr>
          <w:rFonts w:hint="eastAsia" w:ascii="仿宋_GB2312" w:hAnsi="仿宋_GB2312" w:eastAsia="仿宋_GB2312" w:cs="仿宋_GB2312"/>
          <w:b/>
          <w:sz w:val="24"/>
        </w:rPr>
        <w:t xml:space="preserve"> </w:t>
      </w:r>
      <w:bookmarkStart w:id="105" w:name="_Toc23127_WPSOffice_Level2"/>
      <w:bookmarkStart w:id="106" w:name="_Toc24011_WPSOffice_Level2"/>
      <w:r>
        <w:rPr>
          <w:rFonts w:hint="eastAsia" w:ascii="仿宋_GB2312" w:hAnsi="仿宋_GB2312" w:eastAsia="仿宋_GB2312" w:cs="仿宋_GB2312"/>
          <w:b/>
          <w:sz w:val="24"/>
        </w:rPr>
        <w:t>重要提示：</w:t>
      </w:r>
      <w:bookmarkEnd w:id="105"/>
      <w:bookmarkEnd w:id="106"/>
    </w:p>
    <w:p>
      <w:pPr>
        <w:adjustRightInd w:val="0"/>
        <w:snapToGrid w:val="0"/>
        <w:spacing w:line="3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1、投标人提供的证明材料，除需要投标人填报或有特殊说明外，均须按要求提供。</w:t>
      </w:r>
      <w:r>
        <w:rPr>
          <w:rFonts w:hint="eastAsia" w:ascii="仿宋_GB2312" w:hAnsi="仿宋_GB2312" w:eastAsia="仿宋_GB2312" w:cs="仿宋_GB2312"/>
          <w:b/>
          <w:bCs/>
          <w:szCs w:val="21"/>
        </w:rPr>
        <w:t xml:space="preserve"> </w:t>
      </w:r>
    </w:p>
    <w:p>
      <w:pPr>
        <w:adjustRightInd w:val="0"/>
        <w:snapToGrid w:val="0"/>
        <w:spacing w:line="3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2、投标人在编制投标文件时，对于给定格式的文件内容，必须按照给定的标准格式进行填报；对于没有给定标准格式的文件内容，可以由投标人自行设计。</w:t>
      </w:r>
    </w:p>
    <w:p>
      <w:pPr>
        <w:adjustRightInd w:val="0"/>
        <w:snapToGrid w:val="0"/>
        <w:spacing w:line="3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3、投标文件应用中文书写。投标文件中所附或所引用的材料不是中文时，应附中文译本，并加盖公章（自然人投标的，无需加盖单位公章，需要签字）。</w:t>
      </w:r>
    </w:p>
    <w:p>
      <w:pPr>
        <w:adjustRightInd w:val="0"/>
        <w:snapToGrid w:val="0"/>
        <w:spacing w:line="300" w:lineRule="exact"/>
        <w:ind w:firstLine="420" w:firstLineChars="200"/>
        <w:rPr>
          <w:rFonts w:ascii="仿宋_GB2312" w:hAnsi="仿宋_GB2312" w:eastAsia="仿宋_GB2312" w:cs="仿宋_GB2312"/>
        </w:rPr>
      </w:pPr>
      <w:r>
        <w:rPr>
          <w:rFonts w:hint="eastAsia" w:ascii="仿宋_GB2312" w:hAnsi="仿宋_GB2312" w:eastAsia="仿宋_GB2312" w:cs="仿宋_GB2312"/>
          <w:szCs w:val="21"/>
        </w:rPr>
        <w:t>4、</w:t>
      </w:r>
      <w:r>
        <w:rPr>
          <w:rFonts w:hint="eastAsia" w:ascii="仿宋_GB2312" w:hAnsi="仿宋_GB2312" w:eastAsia="仿宋_GB2312" w:cs="仿宋_GB2312"/>
          <w:b/>
          <w:bCs/>
          <w:szCs w:val="21"/>
        </w:rPr>
        <w:t>“资格证明材料”</w:t>
      </w:r>
      <w:r>
        <w:rPr>
          <w:rFonts w:hint="eastAsia" w:ascii="仿宋_GB2312" w:hAnsi="仿宋_GB2312" w:eastAsia="仿宋_GB2312" w:cs="仿宋_GB2312"/>
        </w:rPr>
        <w:t>所列内容即为采购项目的资格审查条件，有一项不符合要求，不能进入下一阶段评审。</w:t>
      </w:r>
    </w:p>
    <w:p>
      <w:pPr>
        <w:adjustRightInd w:val="0"/>
        <w:snapToGrid w:val="0"/>
        <w:spacing w:line="300" w:lineRule="exact"/>
        <w:ind w:firstLine="420" w:firstLineChars="200"/>
        <w:rPr>
          <w:rFonts w:ascii="仿宋_GB2312" w:hAnsi="仿宋_GB2312" w:eastAsia="仿宋_GB2312" w:cs="仿宋_GB2312"/>
        </w:rPr>
      </w:pPr>
      <w:r>
        <w:rPr>
          <w:rFonts w:hint="eastAsia" w:ascii="仿宋_GB2312" w:hAnsi="仿宋_GB2312" w:eastAsia="仿宋_GB2312" w:cs="仿宋_GB2312"/>
        </w:rPr>
        <w:t>5、</w:t>
      </w:r>
      <w:r>
        <w:rPr>
          <w:rFonts w:hint="eastAsia" w:ascii="仿宋_GB2312" w:hAnsi="仿宋_GB2312" w:eastAsia="仿宋_GB2312" w:cs="仿宋_GB2312"/>
          <w:b/>
          <w:bCs/>
          <w:szCs w:val="21"/>
        </w:rPr>
        <w:t>“符合性证明材料”</w:t>
      </w:r>
      <w:r>
        <w:rPr>
          <w:rFonts w:hint="eastAsia" w:ascii="仿宋_GB2312" w:hAnsi="仿宋_GB2312" w:eastAsia="仿宋_GB2312" w:cs="仿宋_GB2312"/>
        </w:rPr>
        <w:t>所列内容即为采购项目的符合性审查条件，有一项不符合要求，不能进入下一阶段评审。</w:t>
      </w:r>
    </w:p>
    <w:p>
      <w:pPr>
        <w:adjustRightInd w:val="0"/>
        <w:snapToGrid w:val="0"/>
        <w:spacing w:line="3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rPr>
        <w:t>6、</w:t>
      </w:r>
      <w:r>
        <w:rPr>
          <w:rFonts w:hint="eastAsia" w:ascii="仿宋_GB2312" w:hAnsi="仿宋_GB2312" w:eastAsia="仿宋_GB2312" w:cs="仿宋_GB2312"/>
          <w:szCs w:val="21"/>
        </w:rPr>
        <w:t>“其他材料”</w:t>
      </w:r>
    </w:p>
    <w:p>
      <w:pPr>
        <w:adjustRightInd w:val="0"/>
        <w:snapToGrid w:val="0"/>
        <w:spacing w:line="30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szCs w:val="21"/>
        </w:rPr>
        <w:t>（1）</w:t>
      </w:r>
      <w:r>
        <w:rPr>
          <w:rFonts w:hint="eastAsia" w:ascii="仿宋_GB2312" w:hAnsi="仿宋_GB2312" w:eastAsia="仿宋_GB2312" w:cs="仿宋_GB2312"/>
          <w:kern w:val="0"/>
          <w:szCs w:val="21"/>
        </w:rPr>
        <w:t>综合评分法：</w:t>
      </w:r>
      <w:r>
        <w:rPr>
          <w:rFonts w:hint="eastAsia" w:ascii="仿宋_GB2312" w:hAnsi="仿宋_GB2312" w:eastAsia="仿宋_GB2312" w:cs="仿宋_GB2312"/>
          <w:szCs w:val="21"/>
        </w:rPr>
        <w:t>投标人可就</w:t>
      </w:r>
      <w:r>
        <w:rPr>
          <w:rFonts w:hint="eastAsia" w:ascii="仿宋_GB2312" w:hAnsi="仿宋_GB2312" w:eastAsia="仿宋_GB2312" w:cs="仿宋_GB2312"/>
          <w:kern w:val="0"/>
          <w:szCs w:val="21"/>
        </w:rPr>
        <w:t>招标文件要求以及评分细则中各项要求提供相应材料。</w:t>
      </w:r>
    </w:p>
    <w:p>
      <w:pPr>
        <w:adjustRightInd w:val="0"/>
        <w:snapToGrid w:val="0"/>
        <w:spacing w:line="3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w:t>
      </w:r>
      <w:r>
        <w:rPr>
          <w:rFonts w:hint="eastAsia" w:ascii="仿宋_GB2312" w:hAnsi="仿宋_GB2312" w:eastAsia="仿宋_GB2312" w:cs="仿宋_GB2312"/>
          <w:kern w:val="0"/>
          <w:szCs w:val="21"/>
        </w:rPr>
        <w:t>最低评标价法：</w:t>
      </w:r>
      <w:r>
        <w:rPr>
          <w:rFonts w:hint="eastAsia" w:ascii="仿宋_GB2312" w:hAnsi="仿宋_GB2312" w:eastAsia="仿宋_GB2312" w:cs="仿宋_GB2312"/>
          <w:szCs w:val="21"/>
        </w:rPr>
        <w:t>投标人可就</w:t>
      </w:r>
      <w:r>
        <w:rPr>
          <w:rFonts w:hint="eastAsia" w:ascii="仿宋_GB2312" w:hAnsi="仿宋_GB2312" w:eastAsia="仿宋_GB2312" w:cs="仿宋_GB2312"/>
          <w:kern w:val="0"/>
          <w:szCs w:val="21"/>
        </w:rPr>
        <w:t>招标文件要求提供相应材料。</w:t>
      </w:r>
    </w:p>
    <w:p>
      <w:pPr>
        <w:rPr>
          <w:rFonts w:ascii="仿宋_GB2312" w:hAnsi="仿宋_GB2312" w:eastAsia="仿宋_GB2312" w:cs="仿宋_GB2312"/>
        </w:rPr>
      </w:pPr>
      <w:r>
        <w:rPr>
          <w:rFonts w:hint="eastAsia" w:ascii="仿宋_GB2312" w:hAnsi="仿宋_GB2312" w:eastAsia="仿宋_GB2312" w:cs="仿宋_GB2312"/>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w:t>
      </w:r>
    </w:p>
    <w:p>
      <w:pPr>
        <w:jc w:val="center"/>
        <w:rPr>
          <w:rFonts w:ascii="仿宋_GB2312" w:hAnsi="仿宋_GB2312" w:eastAsia="仿宋_GB2312" w:cs="仿宋_GB2312"/>
          <w:b/>
          <w:bCs/>
          <w:sz w:val="32"/>
          <w:szCs w:val="32"/>
        </w:rPr>
      </w:pPr>
      <w:bookmarkStart w:id="107" w:name="_Toc21090_WPSOffice_Level2"/>
      <w:bookmarkStart w:id="108" w:name="_Toc26322_WPSOffice_Level2"/>
      <w:r>
        <w:rPr>
          <w:rFonts w:hint="eastAsia" w:ascii="仿宋_GB2312" w:hAnsi="仿宋_GB2312" w:eastAsia="仿宋_GB2312" w:cs="仿宋_GB2312"/>
          <w:b/>
          <w:bCs/>
          <w:sz w:val="32"/>
          <w:szCs w:val="32"/>
        </w:rPr>
        <w:t>投标文件、电子文档外封面、封口格式</w:t>
      </w:r>
      <w:bookmarkEnd w:id="107"/>
      <w:bookmarkEnd w:id="108"/>
    </w:p>
    <w:p>
      <w:pPr>
        <w:rPr>
          <w:rFonts w:ascii="仿宋_GB2312" w:hAnsi="仿宋_GB2312" w:eastAsia="仿宋_GB2312" w:cs="仿宋_GB2312"/>
        </w:rPr>
      </w:pPr>
      <w:r>
        <w:rPr>
          <w:rFonts w:hint="eastAsia" w:ascii="仿宋_GB2312" w:hAnsi="仿宋_GB2312" w:eastAsia="仿宋_GB2312" w:cs="仿宋_GB2312"/>
          <w:sz w:val="28"/>
          <w:szCs w:val="28"/>
        </w:rPr>
        <w:t>封面格式：</w:t>
      </w:r>
    </w:p>
    <w:tbl>
      <w:tblPr>
        <w:tblStyle w:val="12"/>
        <w:tblW w:w="596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96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90" w:hRule="atLeast"/>
          <w:jc w:val="center"/>
        </w:trPr>
        <w:tc>
          <w:tcPr>
            <w:tcW w:w="5960" w:type="dxa"/>
          </w:tcPr>
          <w:p>
            <w:pPr>
              <w:jc w:val="center"/>
              <w:rPr>
                <w:rFonts w:ascii="仿宋_GB2312" w:hAnsi="仿宋_GB2312" w:eastAsia="仿宋_GB2312" w:cs="仿宋_GB2312"/>
                <w:b/>
                <w:bCs/>
              </w:rPr>
            </w:pPr>
          </w:p>
          <w:p>
            <w:pPr>
              <w:jc w:val="center"/>
              <w:rPr>
                <w:rFonts w:ascii="仿宋_GB2312" w:hAnsi="仿宋_GB2312" w:eastAsia="仿宋_GB2312" w:cs="仿宋_GB2312"/>
                <w:b/>
                <w:bCs/>
              </w:rPr>
            </w:pPr>
          </w:p>
          <w:p>
            <w:pPr>
              <w:jc w:val="center"/>
              <w:rPr>
                <w:rFonts w:ascii="仿宋_GB2312" w:hAnsi="仿宋_GB2312" w:eastAsia="仿宋_GB2312" w:cs="仿宋_GB2312"/>
                <w:b/>
                <w:bCs/>
              </w:rPr>
            </w:pPr>
          </w:p>
          <w:p>
            <w:pPr>
              <w:jc w:val="center"/>
              <w:rPr>
                <w:rFonts w:ascii="仿宋_GB2312" w:hAnsi="仿宋_GB2312" w:eastAsia="仿宋_GB2312" w:cs="仿宋_GB2312"/>
                <w:b/>
                <w:bCs/>
              </w:rPr>
            </w:pPr>
          </w:p>
          <w:p>
            <w:pPr>
              <w:jc w:val="center"/>
              <w:rPr>
                <w:rFonts w:ascii="仿宋_GB2312" w:hAnsi="仿宋_GB2312" w:eastAsia="仿宋_GB2312" w:cs="仿宋_GB2312"/>
                <w:b/>
                <w:bCs/>
              </w:rPr>
            </w:pPr>
          </w:p>
          <w:p>
            <w:pPr>
              <w:jc w:val="center"/>
              <w:rPr>
                <w:rFonts w:ascii="仿宋_GB2312" w:hAnsi="仿宋_GB2312" w:eastAsia="仿宋_GB2312" w:cs="仿宋_GB2312"/>
                <w:b/>
                <w:bCs/>
              </w:rPr>
            </w:pPr>
            <w:r>
              <w:rPr>
                <w:rFonts w:hint="eastAsia" w:ascii="仿宋_GB2312" w:hAnsi="仿宋_GB2312" w:eastAsia="仿宋_GB2312" w:cs="仿宋_GB2312"/>
                <w:b/>
                <w:bCs/>
                <w:sz w:val="44"/>
                <w:szCs w:val="52"/>
              </w:rPr>
              <w:t>投标文件/电子文档</w:t>
            </w:r>
          </w:p>
          <w:p>
            <w:pPr>
              <w:jc w:val="left"/>
              <w:rPr>
                <w:rFonts w:ascii="仿宋_GB2312" w:hAnsi="仿宋_GB2312" w:eastAsia="仿宋_GB2312" w:cs="仿宋_GB2312"/>
              </w:rPr>
            </w:pPr>
          </w:p>
          <w:p>
            <w:pPr>
              <w:jc w:val="left"/>
              <w:rPr>
                <w:rFonts w:ascii="仿宋_GB2312" w:hAnsi="仿宋_GB2312" w:eastAsia="仿宋_GB2312" w:cs="仿宋_GB2312"/>
              </w:rPr>
            </w:pPr>
          </w:p>
          <w:p>
            <w:pPr>
              <w:jc w:val="left"/>
              <w:rPr>
                <w:rFonts w:ascii="仿宋_GB2312" w:hAnsi="仿宋_GB2312" w:eastAsia="仿宋_GB2312" w:cs="仿宋_GB2312"/>
              </w:rPr>
            </w:pPr>
          </w:p>
          <w:p>
            <w:pPr>
              <w:jc w:val="left"/>
              <w:rPr>
                <w:rFonts w:ascii="仿宋_GB2312" w:hAnsi="仿宋_GB2312" w:eastAsia="仿宋_GB2312" w:cs="仿宋_GB2312"/>
              </w:rPr>
            </w:pPr>
          </w:p>
          <w:p>
            <w:pPr>
              <w:jc w:val="left"/>
              <w:rPr>
                <w:rFonts w:ascii="仿宋_GB2312" w:hAnsi="仿宋_GB2312" w:eastAsia="仿宋_GB2312" w:cs="仿宋_GB2312"/>
              </w:rPr>
            </w:pPr>
          </w:p>
          <w:p>
            <w:pPr>
              <w:jc w:val="left"/>
              <w:rPr>
                <w:rFonts w:ascii="仿宋_GB2312" w:hAnsi="仿宋_GB2312" w:eastAsia="仿宋_GB2312" w:cs="仿宋_GB2312"/>
              </w:rPr>
            </w:pPr>
          </w:p>
          <w:p>
            <w:pPr>
              <w:jc w:val="left"/>
              <w:rPr>
                <w:rFonts w:ascii="仿宋_GB2312" w:hAnsi="仿宋_GB2312" w:eastAsia="仿宋_GB2312" w:cs="仿宋_GB2312"/>
              </w:rPr>
            </w:pPr>
          </w:p>
          <w:p>
            <w:pPr>
              <w:jc w:val="left"/>
              <w:rPr>
                <w:rFonts w:ascii="仿宋_GB2312" w:hAnsi="仿宋_GB2312" w:eastAsia="仿宋_GB2312" w:cs="仿宋_GB2312"/>
              </w:rPr>
            </w:pPr>
            <w:r>
              <w:rPr>
                <w:rFonts w:hint="eastAsia" w:ascii="仿宋_GB2312" w:hAnsi="仿宋_GB2312" w:eastAsia="仿宋_GB2312" w:cs="仿宋_GB2312"/>
              </w:rPr>
              <w:t>所投包号：第  包</w:t>
            </w:r>
          </w:p>
          <w:p>
            <w:pPr>
              <w:jc w:val="left"/>
              <w:rPr>
                <w:rFonts w:ascii="仿宋_GB2312" w:hAnsi="仿宋_GB2312" w:eastAsia="仿宋_GB2312" w:cs="仿宋_GB2312"/>
              </w:rPr>
            </w:pPr>
          </w:p>
          <w:p>
            <w:pPr>
              <w:jc w:val="left"/>
              <w:rPr>
                <w:rFonts w:ascii="仿宋_GB2312" w:hAnsi="仿宋_GB2312" w:eastAsia="仿宋_GB2312" w:cs="仿宋_GB2312"/>
              </w:rPr>
            </w:pPr>
            <w:r>
              <w:rPr>
                <w:rFonts w:hint="eastAsia" w:ascii="仿宋_GB2312" w:hAnsi="仿宋_GB2312" w:eastAsia="仿宋_GB2312" w:cs="仿宋_GB2312"/>
              </w:rPr>
              <w:t>项目名称：</w:t>
            </w:r>
          </w:p>
          <w:p>
            <w:pPr>
              <w:jc w:val="left"/>
              <w:rPr>
                <w:rFonts w:ascii="仿宋_GB2312" w:hAnsi="仿宋_GB2312" w:eastAsia="仿宋_GB2312" w:cs="仿宋_GB2312"/>
              </w:rPr>
            </w:pPr>
          </w:p>
          <w:p>
            <w:pPr>
              <w:jc w:val="left"/>
              <w:rPr>
                <w:rFonts w:ascii="仿宋_GB2312" w:hAnsi="仿宋_GB2312" w:eastAsia="仿宋_GB2312" w:cs="仿宋_GB2312"/>
              </w:rPr>
            </w:pPr>
            <w:r>
              <w:rPr>
                <w:rFonts w:hint="eastAsia" w:ascii="仿宋_GB2312" w:hAnsi="仿宋_GB2312" w:eastAsia="仿宋_GB2312" w:cs="仿宋_GB2312"/>
              </w:rPr>
              <w:t>项目编号：</w:t>
            </w: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left"/>
              <w:rPr>
                <w:rFonts w:ascii="仿宋_GB2312" w:hAnsi="仿宋_GB2312" w:eastAsia="仿宋_GB2312" w:cs="仿宋_GB2312"/>
              </w:rPr>
            </w:pPr>
            <w:r>
              <w:rPr>
                <w:rFonts w:hint="eastAsia" w:ascii="仿宋_GB2312" w:hAnsi="仿宋_GB2312" w:eastAsia="仿宋_GB2312" w:cs="仿宋_GB2312"/>
              </w:rPr>
              <w:t>投标人名称（加盖单位公章）</w:t>
            </w:r>
          </w:p>
        </w:tc>
      </w:tr>
    </w:tbl>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r>
        <w:rPr>
          <w:rFonts w:hint="eastAsia" w:ascii="仿宋_GB2312" w:hAnsi="仿宋_GB2312" w:eastAsia="仿宋_GB2312" w:cs="仿宋_GB2312"/>
          <w:sz w:val="24"/>
          <w:szCs w:val="32"/>
        </w:rPr>
        <w:t>封口格式：</w:t>
      </w:r>
    </w:p>
    <w:tbl>
      <w:tblPr>
        <w:tblStyle w:val="12"/>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82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——于   年  月  日   时之前不准启封（公章）——</w:t>
            </w:r>
          </w:p>
        </w:tc>
      </w:tr>
    </w:tbl>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b/>
          <w:sz w:val="28"/>
          <w:szCs w:val="28"/>
        </w:rPr>
      </w:pPr>
      <w:r>
        <w:rPr>
          <w:rFonts w:hint="eastAsia" w:ascii="仿宋_GB2312" w:hAnsi="仿宋_GB2312" w:eastAsia="仿宋_GB2312" w:cs="仿宋_GB2312"/>
          <w:b/>
          <w:sz w:val="28"/>
          <w:szCs w:val="28"/>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格式2</w:t>
      </w:r>
    </w:p>
    <w:p>
      <w:pPr>
        <w:jc w:val="center"/>
        <w:rPr>
          <w:rFonts w:ascii="仿宋_GB2312" w:hAnsi="仿宋_GB2312" w:eastAsia="仿宋_GB2312" w:cs="仿宋_GB2312"/>
          <w:b/>
          <w:bCs/>
          <w:sz w:val="32"/>
          <w:szCs w:val="32"/>
        </w:rPr>
      </w:pPr>
      <w:r>
        <w:rPr>
          <w:rFonts w:ascii="仿宋_GB2312" w:hAnsi="仿宋_GB2312" w:eastAsia="仿宋_GB2312" w:cs="仿宋_GB2312"/>
          <w:sz w:val="32"/>
        </w:rPr>
        <mc:AlternateContent>
          <mc:Choice Requires="wps">
            <w:drawing>
              <wp:anchor distT="0" distB="0" distL="114300" distR="114300" simplePos="0" relativeHeight="251659264" behindDoc="0" locked="0" layoutInCell="1" allowOverlap="1">
                <wp:simplePos x="0" y="0"/>
                <wp:positionH relativeFrom="column">
                  <wp:posOffset>3878580</wp:posOffset>
                </wp:positionH>
                <wp:positionV relativeFrom="paragraph">
                  <wp:posOffset>361315</wp:posOffset>
                </wp:positionV>
                <wp:extent cx="1253490" cy="563245"/>
                <wp:effectExtent l="0" t="0" r="3810" b="8255"/>
                <wp:wrapNone/>
                <wp:docPr id="2" name="文本框 1"/>
                <wp:cNvGraphicFramePr/>
                <a:graphic xmlns:a="http://schemas.openxmlformats.org/drawingml/2006/main">
                  <a:graphicData uri="http://schemas.microsoft.com/office/word/2010/wordprocessingShape">
                    <wps:wsp>
                      <wps:cNvSpPr txBox="1"/>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sz w:val="32"/>
                                <w:szCs w:val="32"/>
                              </w:rPr>
                            </w:pPr>
                            <w:r>
                              <w:rPr>
                                <w:rFonts w:hint="eastAsia" w:ascii="仿宋_GB2312" w:hAnsi="仿宋_GB2312" w:eastAsia="仿宋_GB2312" w:cs="仿宋_GB2312"/>
                                <w:sz w:val="32"/>
                                <w:szCs w:val="32"/>
                              </w:rPr>
                              <w:t>正本/副本</w:t>
                            </w:r>
                          </w:p>
                        </w:txbxContent>
                      </wps:txbx>
                      <wps:bodyPr upright="1"/>
                    </wps:wsp>
                  </a:graphicData>
                </a:graphic>
              </wp:anchor>
            </w:drawing>
          </mc:Choice>
          <mc:Fallback>
            <w:pict>
              <v:shape id="文本框 1" o:spid="_x0000_s1026" o:spt="202" type="#_x0000_t202" style="position:absolute;left:0pt;margin-left:305.4pt;margin-top:28.45pt;height:44.35pt;width:98.7pt;z-index:251659264;mso-width-relative:page;mso-height-relative:page;" fillcolor="#FFFFFF" filled="t" stroked="t" coordsize="21600,21600" o:gfxdata="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1XXs+2QAAAAoBAAAPAAAAAAAAAAEAIAAA&#10;ACIAAABkcnMvZG93bnJldi54bWxQSwECFAAUAAAACACHTuJAveGXzwsCAAA2BAAADgAAAAAAAAAB&#10;ACAAAAAoAQAAZHJzL2Uyb0RvYy54bWxQSwUGAAAAAAYABgBZAQAApQUAAAAA&#10;">
                <v:fill on="t" focussize="0,0"/>
                <v:stroke color="#000000" joinstyle="miter"/>
                <v:imagedata o:title=""/>
                <o:lock v:ext="edit" aspectratio="f"/>
                <v:textbox>
                  <w:txbxContent>
                    <w:p>
                      <w:pPr>
                        <w:rPr>
                          <w:rFonts w:ascii="仿宋_GB2312" w:hAnsi="仿宋_GB2312" w:eastAsia="仿宋_GB2312" w:cs="仿宋_GB2312"/>
                          <w:sz w:val="32"/>
                          <w:szCs w:val="32"/>
                        </w:rPr>
                      </w:pPr>
                      <w:r>
                        <w:rPr>
                          <w:rFonts w:hint="eastAsia" w:ascii="仿宋_GB2312" w:hAnsi="仿宋_GB2312" w:eastAsia="仿宋_GB2312" w:cs="仿宋_GB2312"/>
                          <w:sz w:val="32"/>
                          <w:szCs w:val="32"/>
                        </w:rPr>
                        <w:t>正本/副本</w:t>
                      </w:r>
                    </w:p>
                  </w:txbxContent>
                </v:textbox>
              </v:shape>
            </w:pict>
          </mc:Fallback>
        </mc:AlternateContent>
      </w:r>
      <w:r>
        <w:rPr>
          <w:rFonts w:hint="eastAsia" w:ascii="仿宋_GB2312" w:hAnsi="仿宋_GB2312" w:eastAsia="仿宋_GB2312" w:cs="仿宋_GB2312"/>
          <w:b/>
          <w:bCs/>
          <w:sz w:val="32"/>
          <w:szCs w:val="32"/>
        </w:rPr>
        <w:t>投标文件的封皮</w:t>
      </w: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jc w:val="center"/>
        <w:rPr>
          <w:rFonts w:ascii="仿宋_GB2312" w:hAnsi="仿宋_GB2312" w:eastAsia="仿宋_GB2312" w:cs="仿宋_GB2312"/>
          <w:b/>
          <w:bCs/>
          <w:sz w:val="52"/>
          <w:szCs w:val="52"/>
        </w:rPr>
      </w:pPr>
      <w:r>
        <w:rPr>
          <w:rFonts w:hint="eastAsia" w:ascii="仿宋_GB2312" w:hAnsi="仿宋_GB2312" w:eastAsia="仿宋_GB2312" w:cs="仿宋_GB2312"/>
          <w:b/>
          <w:bCs/>
          <w:sz w:val="52"/>
          <w:szCs w:val="52"/>
        </w:rPr>
        <w:t>投  标  文  件</w:t>
      </w: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所投包号：第  包</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项目名称：</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项目编号：</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投标人名称 ：</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格式3</w:t>
      </w:r>
    </w:p>
    <w:p>
      <w:pPr>
        <w:spacing w:before="319" w:beforeLines="100" w:after="319" w:afterLines="100" w:line="360" w:lineRule="auto"/>
        <w:ind w:right="-21" w:rightChars="-10"/>
        <w:jc w:val="center"/>
        <w:rPr>
          <w:rFonts w:ascii="仿宋_GB2312" w:hAnsi="仿宋_GB2312" w:eastAsia="仿宋_GB2312" w:cs="仿宋_GB2312"/>
          <w:b/>
          <w:sz w:val="32"/>
          <w:szCs w:val="32"/>
        </w:rPr>
      </w:pPr>
      <w:bookmarkStart w:id="109" w:name="_Toc2304_WPSOffice_Level2"/>
      <w:bookmarkStart w:id="110" w:name="_Toc21414_WPSOffice_Level2"/>
      <w:r>
        <w:rPr>
          <w:rFonts w:hint="eastAsia" w:ascii="仿宋_GB2312" w:hAnsi="仿宋_GB2312" w:eastAsia="仿宋_GB2312" w:cs="仿宋_GB2312"/>
          <w:b/>
          <w:sz w:val="32"/>
          <w:szCs w:val="32"/>
        </w:rPr>
        <w:t>目  录</w:t>
      </w:r>
      <w:bookmarkEnd w:id="109"/>
      <w:bookmarkEnd w:id="110"/>
    </w:p>
    <w:p>
      <w:pPr>
        <w:rPr>
          <w:rFonts w:ascii="仿宋_GB2312" w:hAnsi="仿宋_GB2312" w:eastAsia="仿宋_GB2312" w:cs="仿宋_GB2312"/>
        </w:rPr>
      </w:pPr>
      <w:bookmarkStart w:id="111" w:name="_Toc30940_WPSOffice_Level2"/>
      <w:bookmarkStart w:id="112" w:name="_Toc7636_WPSOffice_Level2"/>
      <w:r>
        <w:rPr>
          <w:rFonts w:hint="eastAsia" w:ascii="仿宋_GB2312" w:hAnsi="仿宋_GB2312" w:eastAsia="仿宋_GB2312" w:cs="仿宋_GB2312"/>
        </w:rPr>
        <w:t>一、资格证明材料</w:t>
      </w:r>
      <w:bookmarkEnd w:id="111"/>
      <w:bookmarkEnd w:id="112"/>
    </w:p>
    <w:p>
      <w:pPr>
        <w:rPr>
          <w:rFonts w:ascii="仿宋_GB2312" w:hAnsi="仿宋_GB2312" w:eastAsia="仿宋_GB2312" w:cs="仿宋_GB2312"/>
        </w:rPr>
      </w:pPr>
      <w:r>
        <w:rPr>
          <w:rFonts w:hint="eastAsia" w:ascii="仿宋_GB2312" w:hAnsi="仿宋_GB2312" w:eastAsia="仿宋_GB2312" w:cs="仿宋_GB2312"/>
        </w:rPr>
        <w:t>……</w:t>
      </w:r>
    </w:p>
    <w:p>
      <w:pPr>
        <w:rPr>
          <w:rFonts w:ascii="仿宋_GB2312" w:hAnsi="仿宋_GB2312" w:eastAsia="仿宋_GB2312" w:cs="仿宋_GB2312"/>
        </w:rPr>
      </w:pPr>
      <w:bookmarkStart w:id="113" w:name="_Toc13950_WPSOffice_Level2"/>
      <w:bookmarkStart w:id="114" w:name="_Toc31702_WPSOffice_Level2"/>
      <w:r>
        <w:rPr>
          <w:rFonts w:hint="eastAsia" w:ascii="仿宋_GB2312" w:hAnsi="仿宋_GB2312" w:eastAsia="仿宋_GB2312" w:cs="仿宋_GB2312"/>
        </w:rPr>
        <w:t>二、符合性证明材料</w:t>
      </w:r>
      <w:bookmarkEnd w:id="113"/>
      <w:bookmarkEnd w:id="114"/>
    </w:p>
    <w:p>
      <w:pPr>
        <w:rPr>
          <w:rFonts w:ascii="仿宋_GB2312" w:hAnsi="仿宋_GB2312" w:eastAsia="仿宋_GB2312" w:cs="仿宋_GB2312"/>
        </w:rPr>
      </w:pPr>
      <w:r>
        <w:rPr>
          <w:rFonts w:hint="eastAsia" w:ascii="仿宋_GB2312" w:hAnsi="仿宋_GB2312" w:eastAsia="仿宋_GB2312" w:cs="仿宋_GB2312"/>
        </w:rPr>
        <w:t>……</w:t>
      </w:r>
    </w:p>
    <w:p>
      <w:pPr>
        <w:rPr>
          <w:rFonts w:ascii="仿宋_GB2312" w:hAnsi="仿宋_GB2312" w:eastAsia="仿宋_GB2312" w:cs="仿宋_GB2312"/>
        </w:rPr>
      </w:pPr>
      <w:bookmarkStart w:id="115" w:name="_Toc9090_WPSOffice_Level2"/>
      <w:bookmarkStart w:id="116" w:name="_Toc14854_WPSOffice_Level2"/>
      <w:r>
        <w:rPr>
          <w:rFonts w:hint="eastAsia" w:ascii="仿宋_GB2312" w:hAnsi="仿宋_GB2312" w:eastAsia="仿宋_GB2312" w:cs="仿宋_GB2312"/>
        </w:rPr>
        <w:t>三、其它材料</w:t>
      </w:r>
      <w:bookmarkEnd w:id="115"/>
      <w:bookmarkEnd w:id="116"/>
    </w:p>
    <w:p>
      <w:pPr>
        <w:rPr>
          <w:rFonts w:ascii="仿宋_GB2312" w:hAnsi="仿宋_GB2312" w:eastAsia="仿宋_GB2312" w:cs="仿宋_GB2312"/>
          <w:szCs w:val="21"/>
        </w:rPr>
      </w:pPr>
      <w:r>
        <w:rPr>
          <w:rFonts w:hint="eastAsia" w:ascii="仿宋_GB2312" w:hAnsi="仿宋_GB2312" w:eastAsia="仿宋_GB2312" w:cs="仿宋_GB2312"/>
          <w:szCs w:val="21"/>
        </w:rPr>
        <w:t>……</w:t>
      </w:r>
    </w:p>
    <w:p>
      <w:pPr>
        <w:rPr>
          <w:rFonts w:ascii="仿宋_GB2312" w:hAnsi="仿宋_GB2312" w:eastAsia="仿宋_GB2312" w:cs="仿宋_GB2312"/>
          <w:szCs w:val="21"/>
        </w:rPr>
      </w:pPr>
    </w:p>
    <w:p>
      <w:pPr>
        <w:rPr>
          <w:rFonts w:ascii="仿宋_GB2312" w:hAnsi="仿宋_GB2312" w:eastAsia="仿宋_GB2312" w:cs="仿宋_GB2312"/>
          <w:szCs w:val="21"/>
        </w:rPr>
      </w:pPr>
    </w:p>
    <w:p>
      <w:pPr>
        <w:rPr>
          <w:rFonts w:ascii="仿宋_GB2312" w:hAnsi="仿宋_GB2312" w:eastAsia="仿宋_GB2312" w:cs="仿宋_GB2312"/>
          <w:szCs w:val="21"/>
        </w:rPr>
      </w:pP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我单位的投标文件由资格证明材料、符合性证明材料和其它材料三部分组成，在此加盖单位公章并由法定代表人（或非法人组织负责人）或其授权委托人签字，保证投标文件中所有材料真实、有效。</w:t>
      </w: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其授权委托人(签字或盖章)：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u w:val="single"/>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widowControl/>
        <w:jc w:val="left"/>
        <w:rPr>
          <w:rFonts w:ascii="仿宋_GB2312" w:hAnsi="仿宋_GB2312" w:eastAsia="仿宋_GB2312" w:cs="仿宋_GB2312"/>
        </w:rPr>
      </w:pPr>
      <w:r>
        <w:rPr>
          <w:rFonts w:ascii="仿宋_GB2312" w:hAnsi="仿宋_GB2312" w:eastAsia="仿宋_GB2312" w:cs="仿宋_GB2312"/>
        </w:rPr>
        <w:br w:type="page"/>
      </w:r>
    </w:p>
    <w:p>
      <w:pPr>
        <w:pStyle w:val="3"/>
        <w:adjustRightInd w:val="0"/>
        <w:snapToGrid w:val="0"/>
        <w:spacing w:before="0" w:after="0" w:line="240" w:lineRule="auto"/>
        <w:jc w:val="left"/>
        <w:rPr>
          <w:rFonts w:ascii="仿宋_GB2312" w:hAnsi="仿宋_GB2312" w:eastAsia="仿宋_GB2312" w:cs="仿宋_GB2312"/>
          <w:b w:val="0"/>
          <w:bCs/>
          <w:sz w:val="32"/>
          <w:szCs w:val="32"/>
        </w:rPr>
      </w:pPr>
      <w:r>
        <w:rPr>
          <w:rFonts w:hint="eastAsia" w:ascii="仿宋_GB2312" w:hAnsi="仿宋_GB2312" w:eastAsia="仿宋_GB2312" w:cs="仿宋_GB2312"/>
          <w:szCs w:val="28"/>
        </w:rPr>
        <w:t>格式4</w:t>
      </w:r>
      <w:bookmarkStart w:id="117" w:name="_Toc16924_WPSOffice_Level2"/>
      <w:bookmarkStart w:id="118" w:name="_Toc3401_WPSOffice_Level2"/>
    </w:p>
    <w:p>
      <w:pPr>
        <w:spacing w:before="319" w:beforeLines="100" w:after="319" w:afterLines="100" w:line="360" w:lineRule="auto"/>
        <w:ind w:right="-21" w:rightChars="-1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法定代表人（或非法人组织负责人）身份证明书</w:t>
      </w:r>
      <w:bookmarkEnd w:id="117"/>
      <w:bookmarkEnd w:id="118"/>
    </w:p>
    <w:p>
      <w:pPr>
        <w:spacing w:line="360" w:lineRule="auto"/>
        <w:ind w:firstLine="840" w:firstLineChars="400"/>
        <w:rPr>
          <w:rFonts w:ascii="仿宋_GB2312" w:hAnsi="仿宋_GB2312" w:eastAsia="仿宋_GB2312" w:cs="仿宋_GB2312"/>
          <w:szCs w:val="21"/>
        </w:rPr>
      </w:pPr>
      <w:r>
        <w:rPr>
          <w:rFonts w:hint="eastAsia" w:ascii="仿宋_GB2312" w:hAnsi="仿宋_GB2312" w:eastAsia="仿宋_GB2312" w:cs="仿宋_GB2312"/>
          <w:szCs w:val="21"/>
        </w:rPr>
        <w:t>姓名：</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，性别：</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，出生日期：</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，现任职务：</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，系</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（投标人名称）的法定代表人（或非法人组织负责人）。</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w:t>
      </w:r>
    </w:p>
    <w:p>
      <w:pPr>
        <w:rPr>
          <w:rFonts w:ascii="仿宋_GB2312" w:hAnsi="仿宋_GB2312" w:eastAsia="仿宋_GB2312" w:cs="仿宋_GB2312"/>
          <w:szCs w:val="21"/>
        </w:rPr>
      </w:pPr>
      <w:r>
        <w:rPr>
          <w:rFonts w:hint="eastAsia" w:ascii="仿宋_GB2312" w:hAnsi="仿宋_GB2312" w:eastAsia="仿宋_GB2312" w:cs="仿宋_GB2312"/>
          <w:szCs w:val="21"/>
        </w:rPr>
        <w:t>特此证明。</w:t>
      </w:r>
    </w:p>
    <w:p>
      <w:pPr>
        <w:rPr>
          <w:rFonts w:ascii="仿宋_GB2312" w:hAnsi="仿宋_GB2312" w:eastAsia="仿宋_GB2312" w:cs="仿宋_GB2312"/>
          <w:szCs w:val="21"/>
        </w:rPr>
      </w:pPr>
    </w:p>
    <w:p>
      <w:pPr>
        <w:rPr>
          <w:rFonts w:ascii="仿宋_GB2312" w:hAnsi="仿宋_GB2312" w:eastAsia="仿宋_GB2312" w:cs="仿宋_GB2312"/>
          <w:szCs w:val="21"/>
        </w:rPr>
      </w:pPr>
    </w:p>
    <w:p>
      <w:pPr>
        <w:rPr>
          <w:rFonts w:ascii="仿宋_GB2312" w:hAnsi="仿宋_GB2312" w:eastAsia="仿宋_GB2312" w:cs="仿宋_GB2312"/>
          <w:szCs w:val="21"/>
        </w:rPr>
      </w:pPr>
    </w:p>
    <w:tbl>
      <w:tblPr>
        <w:tblStyle w:val="12"/>
        <w:tblW w:w="8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822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（※法定代表人（或非法人组织负责人）身份证正、反面复印件※）</w:t>
            </w:r>
          </w:p>
        </w:tc>
      </w:tr>
    </w:tbl>
    <w:p>
      <w:pPr>
        <w:rPr>
          <w:rFonts w:ascii="仿宋_GB2312" w:hAnsi="仿宋_GB2312" w:eastAsia="仿宋_GB2312" w:cs="仿宋_GB2312"/>
          <w:szCs w:val="21"/>
        </w:rPr>
      </w:pPr>
    </w:p>
    <w:p>
      <w:pPr>
        <w:rPr>
          <w:rFonts w:ascii="仿宋_GB2312" w:hAnsi="仿宋_GB2312" w:eastAsia="仿宋_GB2312" w:cs="仿宋_GB2312"/>
          <w:szCs w:val="21"/>
        </w:rPr>
      </w:pPr>
    </w:p>
    <w:p>
      <w:pPr>
        <w:rPr>
          <w:rFonts w:ascii="仿宋_GB2312" w:hAnsi="仿宋_GB2312" w:eastAsia="仿宋_GB2312" w:cs="仿宋_GB2312"/>
          <w:szCs w:val="21"/>
        </w:rPr>
      </w:pPr>
    </w:p>
    <w:p>
      <w:pPr>
        <w:rPr>
          <w:rFonts w:ascii="仿宋_GB2312" w:hAnsi="仿宋_GB2312" w:eastAsia="仿宋_GB2312" w:cs="仿宋_GB2312"/>
          <w:szCs w:val="21"/>
        </w:rPr>
      </w:pPr>
    </w:p>
    <w:p>
      <w:pPr>
        <w:rPr>
          <w:rFonts w:ascii="仿宋_GB2312" w:hAnsi="仿宋_GB2312" w:eastAsia="仿宋_GB2312" w:cs="仿宋_GB2312"/>
          <w:szCs w:val="21"/>
        </w:rPr>
      </w:pPr>
    </w:p>
    <w:p>
      <w:pPr>
        <w:rPr>
          <w:rFonts w:ascii="仿宋_GB2312" w:hAnsi="仿宋_GB2312" w:eastAsia="仿宋_GB2312" w:cs="仿宋_GB2312"/>
          <w:szCs w:val="21"/>
        </w:rPr>
      </w:pPr>
    </w:p>
    <w:p>
      <w:pPr>
        <w:rPr>
          <w:rFonts w:ascii="仿宋_GB2312" w:hAnsi="仿宋_GB2312" w:eastAsia="仿宋_GB2312" w:cs="仿宋_GB2312"/>
          <w:szCs w:val="21"/>
        </w:rPr>
      </w:pPr>
    </w:p>
    <w:p>
      <w:pPr>
        <w:spacing w:line="480" w:lineRule="auto"/>
        <w:rPr>
          <w:rFonts w:ascii="仿宋_GB2312" w:hAnsi="仿宋_GB2312" w:eastAsia="仿宋_GB2312" w:cs="仿宋_GB2312"/>
          <w:u w:val="single"/>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rPr>
          <w:rFonts w:ascii="仿宋_GB2312" w:hAnsi="仿宋_GB2312" w:eastAsia="仿宋_GB2312" w:cs="仿宋_GB2312"/>
          <w:u w:val="single"/>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rPr>
          <w:rFonts w:ascii="仿宋_GB2312" w:hAnsi="仿宋_GB2312" w:eastAsia="仿宋_GB2312" w:cs="仿宋_GB2312"/>
          <w:szCs w:val="21"/>
        </w:rPr>
      </w:pPr>
      <w:r>
        <w:rPr>
          <w:rFonts w:hint="eastAsia" w:ascii="仿宋_GB2312" w:hAnsi="仿宋_GB2312" w:eastAsia="仿宋_GB2312" w:cs="仿宋_GB2312"/>
          <w:szCs w:val="21"/>
        </w:rPr>
        <w:br w:type="page"/>
      </w:r>
    </w:p>
    <w:p>
      <w:pPr>
        <w:pStyle w:val="3"/>
        <w:adjustRightInd w:val="0"/>
        <w:snapToGrid w:val="0"/>
        <w:spacing w:before="0" w:after="0" w:line="240" w:lineRule="auto"/>
        <w:jc w:val="left"/>
        <w:rPr>
          <w:rFonts w:ascii="仿宋_GB2312" w:hAnsi="仿宋_GB2312" w:eastAsia="仿宋_GB2312" w:cs="仿宋_GB2312"/>
          <w:b w:val="0"/>
          <w:bCs/>
          <w:sz w:val="32"/>
          <w:szCs w:val="32"/>
        </w:rPr>
      </w:pPr>
      <w:r>
        <w:rPr>
          <w:rFonts w:hint="eastAsia" w:ascii="仿宋_GB2312" w:hAnsi="仿宋_GB2312" w:eastAsia="仿宋_GB2312" w:cs="仿宋_GB2312"/>
          <w:szCs w:val="28"/>
        </w:rPr>
        <w:t>格式5</w:t>
      </w:r>
      <w:bookmarkStart w:id="119" w:name="_Toc21833_WPSOffice_Level2"/>
      <w:bookmarkStart w:id="120" w:name="_Toc122_WPSOffice_Level2"/>
    </w:p>
    <w:p>
      <w:pPr>
        <w:spacing w:before="319" w:beforeLines="100" w:after="319" w:afterLines="100" w:line="360" w:lineRule="auto"/>
        <w:ind w:right="-21" w:rightChars="-1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法定代表人（或非法人组织负责人）授权委托书</w:t>
      </w:r>
      <w:bookmarkEnd w:id="119"/>
      <w:bookmarkEnd w:id="120"/>
    </w:p>
    <w:p>
      <w:pPr>
        <w:spacing w:line="360" w:lineRule="auto"/>
        <w:ind w:firstLine="420" w:firstLineChars="200"/>
        <w:rPr>
          <w:rFonts w:ascii="仿宋_GB2312" w:hAnsi="仿宋_GB2312" w:eastAsia="仿宋_GB2312" w:cs="仿宋_GB2312"/>
          <w:szCs w:val="21"/>
          <w:u w:val="single"/>
        </w:rPr>
      </w:pPr>
      <w:r>
        <w:rPr>
          <w:rFonts w:hint="eastAsia" w:ascii="仿宋_GB2312" w:hAnsi="仿宋_GB2312" w:eastAsia="仿宋_GB2312" w:cs="仿宋_GB2312"/>
          <w:szCs w:val="21"/>
        </w:rPr>
        <w:t>单位名称：</w:t>
      </w:r>
      <w:r>
        <w:rPr>
          <w:rFonts w:hint="eastAsia" w:ascii="仿宋_GB2312" w:hAnsi="仿宋_GB2312" w:eastAsia="仿宋_GB2312" w:cs="仿宋_GB2312"/>
          <w:szCs w:val="21"/>
          <w:u w:val="single"/>
        </w:rPr>
        <w:t xml:space="preserve">                </w:t>
      </w:r>
    </w:p>
    <w:p>
      <w:pPr>
        <w:spacing w:line="360" w:lineRule="auto"/>
        <w:ind w:firstLine="420" w:firstLineChars="200"/>
        <w:rPr>
          <w:rFonts w:ascii="仿宋_GB2312" w:hAnsi="仿宋_GB2312" w:eastAsia="仿宋_GB2312" w:cs="仿宋_GB2312"/>
          <w:szCs w:val="21"/>
          <w:u w:val="single"/>
        </w:rPr>
      </w:pPr>
      <w:r>
        <w:rPr>
          <w:rFonts w:hint="eastAsia" w:ascii="仿宋_GB2312" w:hAnsi="仿宋_GB2312" w:eastAsia="仿宋_GB2312" w:cs="仿宋_GB2312"/>
          <w:szCs w:val="21"/>
        </w:rPr>
        <w:t>法定代表人（或非法人组织负责人）姓名：</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身份证号码：</w:t>
      </w:r>
      <w:r>
        <w:rPr>
          <w:rFonts w:hint="eastAsia" w:ascii="仿宋_GB2312" w:hAnsi="仿宋_GB2312" w:eastAsia="仿宋_GB2312" w:cs="仿宋_GB2312"/>
          <w:szCs w:val="21"/>
          <w:u w:val="single"/>
        </w:rPr>
        <w:t xml:space="preserve">         </w:t>
      </w:r>
    </w:p>
    <w:p>
      <w:pPr>
        <w:tabs>
          <w:tab w:val="left" w:pos="5205"/>
        </w:tabs>
        <w:spacing w:line="360" w:lineRule="auto"/>
        <w:ind w:firstLine="420" w:firstLineChars="200"/>
        <w:rPr>
          <w:rFonts w:ascii="仿宋_GB2312" w:hAnsi="仿宋_GB2312" w:eastAsia="仿宋_GB2312" w:cs="仿宋_GB2312"/>
          <w:szCs w:val="21"/>
          <w:u w:val="single"/>
        </w:rPr>
      </w:pPr>
      <w:r>
        <w:rPr>
          <w:rFonts w:hint="eastAsia" w:ascii="仿宋_GB2312" w:hAnsi="仿宋_GB2312" w:eastAsia="仿宋_GB2312" w:cs="仿宋_GB2312"/>
          <w:szCs w:val="21"/>
        </w:rPr>
        <w:t>住所地：</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u w:val="single"/>
        </w:rPr>
        <w:tab/>
      </w:r>
    </w:p>
    <w:p>
      <w:pPr>
        <w:spacing w:line="360" w:lineRule="auto"/>
        <w:ind w:firstLine="420" w:firstLineChars="200"/>
        <w:rPr>
          <w:rFonts w:ascii="仿宋_GB2312" w:hAnsi="仿宋_GB2312" w:eastAsia="仿宋_GB2312" w:cs="仿宋_GB2312"/>
          <w:szCs w:val="21"/>
          <w:u w:val="single"/>
        </w:rPr>
      </w:pPr>
      <w:r>
        <w:rPr>
          <w:rFonts w:hint="eastAsia" w:ascii="仿宋_GB2312" w:hAnsi="仿宋_GB2312" w:eastAsia="仿宋_GB2312" w:cs="仿宋_GB2312"/>
          <w:szCs w:val="21"/>
        </w:rPr>
        <w:t>授权委托人姓名：</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身份证号码：</w:t>
      </w:r>
      <w:r>
        <w:rPr>
          <w:rFonts w:hint="eastAsia" w:ascii="仿宋_GB2312" w:hAnsi="仿宋_GB2312" w:eastAsia="仿宋_GB2312" w:cs="仿宋_GB2312"/>
          <w:szCs w:val="21"/>
          <w:u w:val="single"/>
        </w:rPr>
        <w:t xml:space="preserve">         </w:t>
      </w:r>
    </w:p>
    <w:p>
      <w:pPr>
        <w:spacing w:line="360" w:lineRule="auto"/>
        <w:ind w:firstLine="420" w:firstLineChars="200"/>
        <w:rPr>
          <w:rFonts w:ascii="仿宋_GB2312" w:hAnsi="仿宋_GB2312" w:eastAsia="仿宋_GB2312" w:cs="仿宋_GB2312"/>
          <w:szCs w:val="21"/>
          <w:u w:val="single"/>
        </w:rPr>
      </w:pPr>
      <w:r>
        <w:rPr>
          <w:rFonts w:hint="eastAsia" w:ascii="仿宋_GB2312" w:hAnsi="仿宋_GB2312" w:eastAsia="仿宋_GB2312" w:cs="仿宋_GB2312"/>
          <w:szCs w:val="21"/>
        </w:rPr>
        <w:t>工作单位：</w:t>
      </w:r>
      <w:r>
        <w:rPr>
          <w:rFonts w:hint="eastAsia" w:ascii="仿宋_GB2312" w:hAnsi="仿宋_GB2312" w:eastAsia="仿宋_GB2312" w:cs="仿宋_GB2312"/>
          <w:szCs w:val="21"/>
          <w:u w:val="single"/>
        </w:rPr>
        <w:t xml:space="preserve">                  </w:t>
      </w:r>
    </w:p>
    <w:p>
      <w:pPr>
        <w:spacing w:line="360" w:lineRule="auto"/>
        <w:ind w:firstLine="420" w:firstLineChars="200"/>
        <w:rPr>
          <w:rFonts w:ascii="仿宋_GB2312" w:hAnsi="仿宋_GB2312" w:eastAsia="仿宋_GB2312" w:cs="仿宋_GB2312"/>
          <w:szCs w:val="21"/>
          <w:u w:val="single"/>
        </w:rPr>
      </w:pPr>
      <w:r>
        <w:rPr>
          <w:rFonts w:hint="eastAsia" w:ascii="仿宋_GB2312" w:hAnsi="仿宋_GB2312" w:eastAsia="仿宋_GB2312" w:cs="仿宋_GB2312"/>
          <w:szCs w:val="21"/>
        </w:rPr>
        <w:t>住址：</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电话：</w:t>
      </w:r>
      <w:r>
        <w:rPr>
          <w:rFonts w:hint="eastAsia" w:ascii="仿宋_GB2312" w:hAnsi="仿宋_GB2312" w:eastAsia="仿宋_GB2312" w:cs="仿宋_GB2312"/>
          <w:szCs w:val="21"/>
          <w:u w:val="single"/>
        </w:rPr>
        <w:t xml:space="preserve">               </w:t>
      </w:r>
    </w:p>
    <w:p>
      <w:pPr>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现委托</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就</w:t>
      </w:r>
      <w:r>
        <w:rPr>
          <w:rFonts w:hint="eastAsia" w:ascii="仿宋_GB2312" w:hAnsi="仿宋_GB2312" w:eastAsia="仿宋_GB2312" w:cs="仿宋_GB2312"/>
          <w:szCs w:val="21"/>
          <w:u w:val="single"/>
        </w:rPr>
        <w:t>（项目编号、项目名称、包号）</w:t>
      </w:r>
      <w:r>
        <w:rPr>
          <w:rFonts w:hint="eastAsia" w:ascii="仿宋_GB2312" w:hAnsi="仿宋_GB2312" w:eastAsia="仿宋_GB2312" w:cs="仿宋_GB2312"/>
          <w:szCs w:val="21"/>
        </w:rPr>
        <w:t>投标中，以我单位名义处理一切与之有关的事务。</w:t>
      </w:r>
    </w:p>
    <w:p>
      <w:pPr>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本授权书于</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年</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月</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日签字或盖章生效，无转委托，特此声明。</w:t>
      </w:r>
    </w:p>
    <w:p>
      <w:pPr>
        <w:spacing w:line="360" w:lineRule="auto"/>
        <w:rPr>
          <w:rFonts w:ascii="仿宋_GB2312" w:hAnsi="仿宋_GB2312" w:eastAsia="仿宋_GB2312" w:cs="仿宋_GB2312"/>
          <w:szCs w:val="21"/>
        </w:rPr>
      </w:pPr>
    </w:p>
    <w:tbl>
      <w:tblPr>
        <w:tblStyle w:val="12"/>
        <w:tblW w:w="8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822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（※授权委托人身份证正、反面复印件※）</w:t>
            </w:r>
          </w:p>
        </w:tc>
      </w:tr>
    </w:tbl>
    <w:p>
      <w:pPr>
        <w:spacing w:line="360" w:lineRule="auto"/>
        <w:rPr>
          <w:rFonts w:ascii="仿宋_GB2312" w:hAnsi="仿宋_GB2312" w:eastAsia="仿宋_GB2312" w:cs="仿宋_GB2312"/>
          <w:szCs w:val="21"/>
        </w:rPr>
      </w:pPr>
    </w:p>
    <w:p>
      <w:pPr>
        <w:spacing w:line="360" w:lineRule="auto"/>
        <w:rPr>
          <w:rFonts w:ascii="仿宋_GB2312" w:hAnsi="仿宋_GB2312" w:eastAsia="仿宋_GB2312" w:cs="仿宋_GB2312"/>
          <w:szCs w:val="21"/>
        </w:rPr>
      </w:pPr>
      <w:r>
        <w:rPr>
          <w:rFonts w:hint="eastAsia" w:ascii="仿宋_GB2312" w:hAnsi="仿宋_GB2312" w:eastAsia="仿宋_GB2312" w:cs="仿宋_GB2312"/>
          <w:szCs w:val="21"/>
        </w:rPr>
        <w:t>委托人（加盖单位公章）：</w:t>
      </w:r>
      <w:r>
        <w:rPr>
          <w:rFonts w:hint="eastAsia" w:ascii="仿宋_GB2312" w:hAnsi="仿宋_GB2312" w:eastAsia="仿宋_GB2312" w:cs="仿宋_GB2312"/>
          <w:szCs w:val="21"/>
          <w:u w:val="single"/>
        </w:rPr>
        <w:t xml:space="preserve">              </w:t>
      </w:r>
    </w:p>
    <w:p>
      <w:pPr>
        <w:spacing w:line="360" w:lineRule="auto"/>
        <w:rPr>
          <w:rFonts w:ascii="仿宋_GB2312" w:hAnsi="仿宋_GB2312" w:eastAsia="仿宋_GB2312" w:cs="仿宋_GB2312"/>
          <w:szCs w:val="21"/>
        </w:rPr>
      </w:pPr>
      <w:r>
        <w:rPr>
          <w:rFonts w:hint="eastAsia" w:ascii="仿宋_GB2312" w:hAnsi="仿宋_GB2312" w:eastAsia="仿宋_GB2312" w:cs="仿宋_GB2312"/>
          <w:szCs w:val="21"/>
        </w:rPr>
        <w:t>法定代表人（或非法人组织负责人）（签字或盖章）：</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w:t>
      </w:r>
    </w:p>
    <w:p>
      <w:pPr>
        <w:spacing w:line="360" w:lineRule="auto"/>
        <w:rPr>
          <w:rFonts w:ascii="仿宋_GB2312" w:hAnsi="仿宋_GB2312" w:eastAsia="仿宋_GB2312" w:cs="仿宋_GB2312"/>
          <w:szCs w:val="21"/>
        </w:rPr>
      </w:pPr>
      <w:r>
        <w:rPr>
          <w:rFonts w:hint="eastAsia" w:ascii="仿宋_GB2312" w:hAnsi="仿宋_GB2312" w:eastAsia="仿宋_GB2312" w:cs="仿宋_GB2312"/>
          <w:szCs w:val="21"/>
        </w:rPr>
        <w:t>授权委托人（签字或盖章）：</w:t>
      </w:r>
      <w:r>
        <w:rPr>
          <w:rFonts w:hint="eastAsia" w:ascii="仿宋_GB2312" w:hAnsi="仿宋_GB2312" w:eastAsia="仿宋_GB2312" w:cs="仿宋_GB2312"/>
          <w:szCs w:val="21"/>
          <w:u w:val="single"/>
        </w:rPr>
        <w:t xml:space="preserve">              </w:t>
      </w:r>
    </w:p>
    <w:p>
      <w:pPr>
        <w:spacing w:line="360" w:lineRule="auto"/>
        <w:rPr>
          <w:rFonts w:ascii="仿宋_GB2312" w:hAnsi="仿宋_GB2312" w:eastAsia="仿宋_GB2312" w:cs="仿宋_GB2312"/>
          <w:szCs w:val="21"/>
        </w:rPr>
      </w:pPr>
      <w:r>
        <w:rPr>
          <w:rFonts w:hint="eastAsia" w:ascii="仿宋_GB2312" w:hAnsi="仿宋_GB2312" w:eastAsia="仿宋_GB2312" w:cs="仿宋_GB2312"/>
          <w:szCs w:val="21"/>
        </w:rPr>
        <w:t>详细通讯地址：</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邮政编码 ：</w:t>
      </w:r>
      <w:r>
        <w:rPr>
          <w:rFonts w:hint="eastAsia" w:ascii="仿宋_GB2312" w:hAnsi="仿宋_GB2312" w:eastAsia="仿宋_GB2312" w:cs="仿宋_GB2312"/>
          <w:szCs w:val="21"/>
          <w:u w:val="single"/>
        </w:rPr>
        <w:t xml:space="preserve">              </w:t>
      </w:r>
    </w:p>
    <w:p>
      <w:pPr>
        <w:spacing w:line="360" w:lineRule="auto"/>
        <w:rPr>
          <w:rFonts w:ascii="仿宋_GB2312" w:hAnsi="仿宋_GB2312" w:eastAsia="仿宋_GB2312" w:cs="仿宋_GB2312"/>
          <w:szCs w:val="21"/>
          <w:u w:val="single"/>
        </w:rPr>
      </w:pPr>
      <w:r>
        <w:rPr>
          <w:rFonts w:hint="eastAsia" w:ascii="仿宋_GB2312" w:hAnsi="仿宋_GB2312" w:eastAsia="仿宋_GB2312" w:cs="仿宋_GB2312"/>
          <w:szCs w:val="21"/>
        </w:rPr>
        <w:t>传        真：</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电     话：</w:t>
      </w:r>
      <w:r>
        <w:rPr>
          <w:rFonts w:hint="eastAsia" w:ascii="仿宋_GB2312" w:hAnsi="仿宋_GB2312" w:eastAsia="仿宋_GB2312" w:cs="仿宋_GB2312"/>
          <w:szCs w:val="21"/>
          <w:u w:val="single"/>
        </w:rPr>
        <w:t xml:space="preserve">              </w:t>
      </w:r>
    </w:p>
    <w:p>
      <w:pPr>
        <w:spacing w:line="360" w:lineRule="auto"/>
        <w:rPr>
          <w:rFonts w:ascii="仿宋_GB2312" w:hAnsi="仿宋_GB2312" w:eastAsia="仿宋_GB2312" w:cs="仿宋_GB2312"/>
          <w:szCs w:val="21"/>
          <w:u w:val="single"/>
        </w:rPr>
      </w:pPr>
      <w:r>
        <w:rPr>
          <w:rFonts w:hint="eastAsia" w:ascii="仿宋_GB2312" w:hAnsi="仿宋_GB2312" w:eastAsia="仿宋_GB2312" w:cs="仿宋_GB2312"/>
          <w:szCs w:val="21"/>
        </w:rPr>
        <w:t>日        期:</w:t>
      </w:r>
      <w:r>
        <w:rPr>
          <w:rFonts w:hint="eastAsia" w:ascii="仿宋_GB2312" w:hAnsi="仿宋_GB2312" w:eastAsia="仿宋_GB2312" w:cs="仿宋_GB2312"/>
          <w:szCs w:val="21"/>
          <w:u w:val="single"/>
        </w:rPr>
        <w:t xml:space="preserve">                       </w:t>
      </w:r>
    </w:p>
    <w:p>
      <w:pPr>
        <w:rPr>
          <w:rFonts w:ascii="仿宋_GB2312" w:hAnsi="仿宋_GB2312" w:eastAsia="仿宋_GB2312" w:cs="仿宋_GB2312"/>
          <w:szCs w:val="28"/>
        </w:rPr>
      </w:pPr>
      <w:r>
        <w:rPr>
          <w:rFonts w:hint="eastAsia" w:ascii="仿宋_GB2312" w:hAnsi="仿宋_GB2312" w:eastAsia="仿宋_GB2312" w:cs="仿宋_GB2312"/>
          <w:szCs w:val="28"/>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格式6</w:t>
      </w:r>
    </w:p>
    <w:p>
      <w:pPr>
        <w:spacing w:before="319" w:beforeLines="100" w:after="319" w:afterLines="100" w:line="360" w:lineRule="auto"/>
        <w:ind w:right="-21" w:rightChars="-1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具有良好的商业信誉和健全的财务会计制度的承诺函</w:t>
      </w:r>
    </w:p>
    <w:p>
      <w:pPr>
        <w:spacing w:before="319" w:beforeLines="100" w:after="319" w:afterLines="100" w:line="480" w:lineRule="exact"/>
        <w:ind w:right="630" w:rightChars="3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（格式自拟）</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w:t>
      </w:r>
      <w:r>
        <w:rPr>
          <w:rFonts w:hint="eastAsia" w:ascii="仿宋_GB2312" w:hAnsi="仿宋_GB2312" w:eastAsia="仿宋_GB2312" w:cs="仿宋_GB2312"/>
          <w:szCs w:val="21"/>
        </w:rPr>
        <w:t>授权委托人</w:t>
      </w:r>
      <w:r>
        <w:rPr>
          <w:rFonts w:hint="eastAsia" w:ascii="仿宋_GB2312" w:hAnsi="仿宋_GB2312" w:eastAsia="仿宋_GB2312" w:cs="仿宋_GB2312"/>
        </w:rPr>
        <w:t>(签字或盖章)：</w:t>
      </w:r>
      <w:r>
        <w:rPr>
          <w:rFonts w:hint="eastAsia" w:ascii="仿宋_GB2312" w:hAnsi="仿宋_GB2312" w:eastAsia="仿宋_GB2312" w:cs="仿宋_GB2312"/>
          <w:u w:val="single"/>
        </w:rPr>
        <w:t xml:space="preserve">           </w:t>
      </w:r>
    </w:p>
    <w:p>
      <w:pPr>
        <w:adjustRightInd w:val="0"/>
        <w:snapToGrid w:val="0"/>
        <w:spacing w:line="360" w:lineRule="auto"/>
        <w:ind w:right="105" w:rightChars="50"/>
        <w:jc w:val="left"/>
        <w:rPr>
          <w:rFonts w:ascii="仿宋_GB2312" w:hAnsi="仿宋_GB2312" w:eastAsia="仿宋_GB2312" w:cs="仿宋_GB2312"/>
          <w:u w:val="single"/>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adjustRightInd w:val="0"/>
        <w:snapToGrid w:val="0"/>
        <w:spacing w:line="360" w:lineRule="auto"/>
        <w:ind w:right="105" w:rightChars="50"/>
        <w:jc w:val="left"/>
        <w:rPr>
          <w:rFonts w:ascii="仿宋_GB2312" w:hAnsi="仿宋_GB2312" w:eastAsia="仿宋_GB2312" w:cs="仿宋_GB2312"/>
          <w:u w:val="single"/>
        </w:rPr>
      </w:pPr>
    </w:p>
    <w:p>
      <w:pPr>
        <w:rPr>
          <w:rFonts w:ascii="仿宋_GB2312" w:hAnsi="仿宋_GB2312" w:eastAsia="仿宋_GB2312" w:cs="仿宋_GB2312"/>
          <w:szCs w:val="28"/>
        </w:rPr>
      </w:pPr>
      <w:r>
        <w:rPr>
          <w:rFonts w:hint="eastAsia" w:ascii="仿宋_GB2312" w:hAnsi="仿宋_GB2312" w:eastAsia="仿宋_GB2312" w:cs="仿宋_GB2312"/>
          <w:szCs w:val="28"/>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格式7</w:t>
      </w:r>
    </w:p>
    <w:p>
      <w:pPr>
        <w:spacing w:before="319" w:beforeLines="100" w:after="319" w:afterLines="100" w:line="360" w:lineRule="auto"/>
        <w:ind w:right="-21" w:rightChars="-10"/>
        <w:jc w:val="center"/>
        <w:rPr>
          <w:rFonts w:ascii="仿宋_GB2312" w:hAnsi="仿宋_GB2312" w:eastAsia="仿宋_GB2312" w:cs="仿宋_GB2312"/>
          <w:b/>
          <w:sz w:val="32"/>
          <w:szCs w:val="32"/>
        </w:rPr>
      </w:pPr>
      <w:bookmarkStart w:id="121" w:name="_Toc12037_WPSOffice_Level2"/>
      <w:bookmarkStart w:id="122" w:name="_Toc23728_WPSOffice_Level2"/>
      <w:r>
        <w:rPr>
          <w:rFonts w:hint="eastAsia" w:ascii="仿宋_GB2312" w:hAnsi="仿宋_GB2312" w:eastAsia="仿宋_GB2312" w:cs="仿宋_GB2312"/>
          <w:b/>
          <w:sz w:val="32"/>
          <w:szCs w:val="32"/>
        </w:rPr>
        <w:t>具备履行合同所必需的设备和专业技术能力声明函</w:t>
      </w:r>
      <w:bookmarkEnd w:id="121"/>
      <w:bookmarkEnd w:id="122"/>
    </w:p>
    <w:p>
      <w:pPr>
        <w:spacing w:before="319" w:beforeLines="100" w:after="319" w:afterLines="100" w:line="480" w:lineRule="exact"/>
        <w:ind w:right="630" w:rightChars="300"/>
        <w:jc w:val="center"/>
        <w:rPr>
          <w:rFonts w:ascii="仿宋_GB2312" w:hAnsi="仿宋_GB2312" w:eastAsia="仿宋_GB2312" w:cs="仿宋_GB2312"/>
          <w:sz w:val="28"/>
          <w:szCs w:val="28"/>
        </w:rPr>
      </w:pPr>
      <w:bookmarkStart w:id="123" w:name="_Toc1917_WPSOffice_Level2"/>
      <w:bookmarkStart w:id="124" w:name="_Toc28831_WPSOffice_Level2"/>
      <w:r>
        <w:rPr>
          <w:rFonts w:hint="eastAsia" w:ascii="仿宋_GB2312" w:hAnsi="仿宋_GB2312" w:eastAsia="仿宋_GB2312" w:cs="仿宋_GB2312"/>
          <w:sz w:val="28"/>
          <w:szCs w:val="28"/>
        </w:rPr>
        <w:t>（格式自拟）</w:t>
      </w:r>
      <w:bookmarkEnd w:id="123"/>
      <w:bookmarkEnd w:id="124"/>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w:t>
      </w:r>
      <w:r>
        <w:rPr>
          <w:rFonts w:hint="eastAsia" w:ascii="仿宋_GB2312" w:hAnsi="仿宋_GB2312" w:eastAsia="仿宋_GB2312" w:cs="仿宋_GB2312"/>
          <w:szCs w:val="21"/>
        </w:rPr>
        <w:t>授权委托人</w:t>
      </w:r>
      <w:r>
        <w:rPr>
          <w:rFonts w:hint="eastAsia" w:ascii="仿宋_GB2312" w:hAnsi="仿宋_GB2312" w:eastAsia="仿宋_GB2312" w:cs="仿宋_GB2312"/>
        </w:rPr>
        <w:t>(签字或盖章)：</w:t>
      </w:r>
      <w:r>
        <w:rPr>
          <w:rFonts w:hint="eastAsia" w:ascii="仿宋_GB2312" w:hAnsi="仿宋_GB2312" w:eastAsia="仿宋_GB2312" w:cs="仿宋_GB2312"/>
          <w:u w:val="single"/>
        </w:rPr>
        <w:t xml:space="preserve">           </w:t>
      </w:r>
    </w:p>
    <w:p>
      <w:pPr>
        <w:adjustRightInd w:val="0"/>
        <w:snapToGrid w:val="0"/>
        <w:spacing w:line="360" w:lineRule="auto"/>
        <w:ind w:right="105" w:rightChars="50"/>
        <w:jc w:val="left"/>
        <w:rPr>
          <w:rFonts w:ascii="仿宋_GB2312" w:hAnsi="仿宋_GB2312" w:eastAsia="仿宋_GB2312" w:cs="仿宋_GB2312"/>
          <w:u w:val="single"/>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adjustRightInd w:val="0"/>
        <w:snapToGrid w:val="0"/>
        <w:spacing w:line="360" w:lineRule="auto"/>
        <w:ind w:right="105" w:rightChars="50"/>
        <w:jc w:val="left"/>
        <w:rPr>
          <w:rFonts w:ascii="仿宋_GB2312" w:hAnsi="仿宋_GB2312" w:eastAsia="仿宋_GB2312" w:cs="仿宋_GB2312"/>
          <w:u w:val="single"/>
        </w:rPr>
      </w:pPr>
    </w:p>
    <w:p>
      <w:pPr>
        <w:adjustRightInd w:val="0"/>
        <w:snapToGrid w:val="0"/>
        <w:spacing w:line="360" w:lineRule="auto"/>
        <w:ind w:right="105" w:rightChars="50"/>
        <w:jc w:val="left"/>
        <w:rPr>
          <w:rFonts w:ascii="仿宋_GB2312" w:hAnsi="仿宋_GB2312" w:eastAsia="仿宋_GB2312" w:cs="仿宋_GB2312"/>
          <w:u w:val="single"/>
        </w:rPr>
      </w:pPr>
    </w:p>
    <w:p>
      <w:pPr>
        <w:adjustRightInd w:val="0"/>
        <w:snapToGrid w:val="0"/>
        <w:spacing w:line="360" w:lineRule="auto"/>
        <w:ind w:right="105" w:rightChars="5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br w:type="page"/>
      </w:r>
    </w:p>
    <w:p>
      <w:pPr>
        <w:pStyle w:val="3"/>
        <w:adjustRightInd w:val="0"/>
        <w:snapToGrid w:val="0"/>
        <w:spacing w:before="0" w:after="0" w:line="240" w:lineRule="auto"/>
        <w:jc w:val="left"/>
        <w:rPr>
          <w:rFonts w:ascii="仿宋_GB2312" w:hAnsi="仿宋_GB2312" w:eastAsia="仿宋_GB2312" w:cs="仿宋_GB2312"/>
        </w:rPr>
      </w:pPr>
      <w:r>
        <w:rPr>
          <w:rFonts w:hint="eastAsia" w:ascii="仿宋_GB2312" w:hAnsi="仿宋_GB2312" w:eastAsia="仿宋_GB2312" w:cs="仿宋_GB2312"/>
          <w:szCs w:val="28"/>
        </w:rPr>
        <w:t>格式8</w:t>
      </w:r>
    </w:p>
    <w:p>
      <w:pPr>
        <w:spacing w:before="319" w:beforeLines="100" w:after="319" w:afterLines="100" w:line="480" w:lineRule="exact"/>
        <w:ind w:right="630" w:rightChars="300"/>
        <w:jc w:val="center"/>
        <w:rPr>
          <w:rFonts w:ascii="仿宋_GB2312" w:hAnsi="仿宋_GB2312" w:eastAsia="仿宋_GB2312" w:cs="仿宋_GB2312"/>
          <w:b/>
          <w:sz w:val="32"/>
          <w:szCs w:val="32"/>
        </w:rPr>
      </w:pPr>
      <w:r>
        <w:rPr>
          <w:rFonts w:hint="eastAsia" w:ascii="仿宋_GB2312" w:hAnsi="仿宋_GB2312" w:eastAsia="仿宋_GB2312" w:cs="仿宋_GB2312"/>
          <w:b/>
          <w:sz w:val="44"/>
          <w:szCs w:val="44"/>
        </w:rPr>
        <w:t xml:space="preserve">  </w:t>
      </w:r>
      <w:r>
        <w:rPr>
          <w:rFonts w:hint="eastAsia" w:ascii="仿宋_GB2312" w:hAnsi="仿宋_GB2312" w:eastAsia="仿宋_GB2312" w:cs="仿宋_GB2312"/>
          <w:b/>
          <w:sz w:val="32"/>
          <w:szCs w:val="32"/>
        </w:rPr>
        <w:t xml:space="preserve"> </w:t>
      </w:r>
      <w:bookmarkStart w:id="125" w:name="_Toc7498_WPSOffice_Level2"/>
      <w:bookmarkStart w:id="126" w:name="_Toc11967_WPSOffice_Level2"/>
      <w:r>
        <w:rPr>
          <w:rFonts w:hint="eastAsia" w:ascii="仿宋_GB2312" w:hAnsi="仿宋_GB2312" w:eastAsia="仿宋_GB2312" w:cs="仿宋_GB2312"/>
          <w:b/>
          <w:sz w:val="32"/>
          <w:szCs w:val="32"/>
        </w:rPr>
        <w:t>参加政府采购活动前3年内在经营活动中没有重大违法记录的书面声明</w:t>
      </w:r>
      <w:bookmarkEnd w:id="125"/>
      <w:bookmarkEnd w:id="126"/>
    </w:p>
    <w:p>
      <w:pPr>
        <w:spacing w:line="360" w:lineRule="auto"/>
        <w:ind w:right="630" w:rightChars="300"/>
        <w:rPr>
          <w:rFonts w:ascii="仿宋_GB2312" w:hAnsi="仿宋_GB2312" w:eastAsia="仿宋_GB2312" w:cs="仿宋_GB2312"/>
          <w:b/>
          <w:szCs w:val="21"/>
        </w:rPr>
      </w:pPr>
      <w:r>
        <w:rPr>
          <w:rFonts w:hint="eastAsia" w:ascii="仿宋_GB2312" w:hAnsi="仿宋_GB2312" w:eastAsia="仿宋_GB2312" w:cs="仿宋_GB2312"/>
          <w:b/>
          <w:szCs w:val="21"/>
          <w:u w:val="single"/>
        </w:rPr>
        <w:t xml:space="preserve">（采购人或采购代理机构名称） </w:t>
      </w:r>
      <w:r>
        <w:rPr>
          <w:rFonts w:hint="eastAsia" w:ascii="仿宋_GB2312" w:hAnsi="仿宋_GB2312" w:eastAsia="仿宋_GB2312" w:cs="仿宋_GB2312"/>
          <w:b/>
          <w:szCs w:val="21"/>
        </w:rPr>
        <w:t xml:space="preserve"> ：</w:t>
      </w:r>
    </w:p>
    <w:p>
      <w:pPr>
        <w:spacing w:line="360" w:lineRule="auto"/>
        <w:ind w:right="-21" w:rightChars="-10" w:firstLine="493" w:firstLineChars="235"/>
        <w:rPr>
          <w:rFonts w:ascii="仿宋_GB2312" w:hAnsi="仿宋_GB2312" w:eastAsia="仿宋_GB2312" w:cs="仿宋_GB2312"/>
          <w:szCs w:val="21"/>
        </w:rPr>
      </w:pPr>
      <w:r>
        <w:rPr>
          <w:rFonts w:hint="eastAsia" w:ascii="仿宋_GB2312" w:hAnsi="仿宋_GB2312" w:eastAsia="仿宋_GB2312" w:cs="仿宋_GB2312"/>
          <w:szCs w:val="21"/>
        </w:rPr>
        <w:t>在本项目递交投标文件截止时间前，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pPr>
        <w:tabs>
          <w:tab w:val="left" w:pos="10065"/>
        </w:tabs>
        <w:spacing w:line="360" w:lineRule="auto"/>
        <w:ind w:right="-21" w:rightChars="-10" w:firstLine="371" w:firstLineChars="177"/>
        <w:rPr>
          <w:rFonts w:ascii="仿宋_GB2312" w:hAnsi="仿宋_GB2312" w:eastAsia="仿宋_GB2312" w:cs="仿宋_GB2312"/>
          <w:szCs w:val="21"/>
        </w:rPr>
      </w:pPr>
      <w:r>
        <w:rPr>
          <w:rFonts w:hint="eastAsia" w:ascii="仿宋_GB2312" w:hAnsi="仿宋_GB2312" w:eastAsia="仿宋_GB2312" w:cs="仿宋_GB2312"/>
          <w:szCs w:val="21"/>
        </w:rPr>
        <w:t>如发现我单位提供的声明函不实时，我单位将按照《政府采购法》有关提供虚假材料的规定，接受处罚。</w:t>
      </w:r>
    </w:p>
    <w:p>
      <w:pPr>
        <w:spacing w:line="360" w:lineRule="auto"/>
        <w:ind w:right="1050" w:rightChars="50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特此声明。</w:t>
      </w:r>
    </w:p>
    <w:p>
      <w:pPr>
        <w:spacing w:line="500" w:lineRule="exact"/>
        <w:ind w:right="1050" w:rightChars="500"/>
        <w:rPr>
          <w:rFonts w:ascii="仿宋_GB2312" w:hAnsi="仿宋_GB2312" w:eastAsia="仿宋_GB2312" w:cs="仿宋_GB2312"/>
          <w:szCs w:val="21"/>
        </w:rPr>
      </w:pPr>
    </w:p>
    <w:p>
      <w:pPr>
        <w:spacing w:before="159" w:beforeLines="50" w:after="159" w:afterLines="50" w:line="400" w:lineRule="exact"/>
        <w:ind w:right="1050" w:rightChars="500"/>
        <w:rPr>
          <w:rFonts w:ascii="仿宋_GB2312" w:hAnsi="仿宋_GB2312" w:eastAsia="仿宋_GB2312" w:cs="仿宋_GB2312"/>
          <w:szCs w:val="21"/>
        </w:rPr>
      </w:pPr>
    </w:p>
    <w:p>
      <w:pPr>
        <w:spacing w:before="159" w:beforeLines="50" w:after="159" w:afterLines="50" w:line="400" w:lineRule="exact"/>
        <w:ind w:right="1050" w:rightChars="500"/>
        <w:rPr>
          <w:rFonts w:ascii="仿宋_GB2312" w:hAnsi="仿宋_GB2312" w:eastAsia="仿宋_GB2312" w:cs="仿宋_GB2312"/>
          <w:szCs w:val="21"/>
        </w:rPr>
      </w:pPr>
    </w:p>
    <w:p>
      <w:pPr>
        <w:spacing w:before="159" w:beforeLines="50" w:after="159" w:afterLines="50" w:line="400" w:lineRule="exact"/>
        <w:ind w:right="1050" w:rightChars="500"/>
        <w:rPr>
          <w:rFonts w:ascii="仿宋_GB2312" w:hAnsi="仿宋_GB2312" w:eastAsia="仿宋_GB2312" w:cs="仿宋_GB2312"/>
          <w:szCs w:val="21"/>
        </w:rPr>
      </w:pPr>
    </w:p>
    <w:p>
      <w:pPr>
        <w:spacing w:line="360" w:lineRule="exact"/>
        <w:ind w:right="1050" w:rightChars="500"/>
        <w:rPr>
          <w:rFonts w:ascii="仿宋_GB2312" w:hAnsi="仿宋_GB2312" w:eastAsia="仿宋_GB2312" w:cs="仿宋_GB2312"/>
          <w:szCs w:val="21"/>
        </w:rPr>
      </w:pPr>
    </w:p>
    <w:p>
      <w:pPr>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w:t>
      </w:r>
      <w:r>
        <w:rPr>
          <w:rFonts w:hint="eastAsia" w:ascii="仿宋_GB2312" w:hAnsi="仿宋_GB2312" w:eastAsia="仿宋_GB2312" w:cs="仿宋_GB2312"/>
          <w:szCs w:val="21"/>
        </w:rPr>
        <w:t>授权委托人</w:t>
      </w:r>
      <w:r>
        <w:rPr>
          <w:rFonts w:hint="eastAsia" w:ascii="仿宋_GB2312" w:hAnsi="仿宋_GB2312" w:eastAsia="仿宋_GB2312" w:cs="仿宋_GB2312"/>
        </w:rPr>
        <w:t>(签字或盖章)：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格式9</w:t>
      </w:r>
    </w:p>
    <w:p>
      <w:pPr>
        <w:spacing w:before="319" w:beforeLines="100" w:after="319" w:afterLines="100" w:line="360" w:lineRule="auto"/>
        <w:ind w:right="-21" w:rightChars="-10"/>
        <w:jc w:val="center"/>
        <w:rPr>
          <w:rFonts w:ascii="仿宋_GB2312" w:hAnsi="仿宋_GB2312" w:eastAsia="仿宋_GB2312" w:cs="仿宋_GB2312"/>
          <w:b/>
          <w:sz w:val="32"/>
          <w:szCs w:val="32"/>
        </w:rPr>
      </w:pPr>
      <w:bookmarkStart w:id="127" w:name="_Toc30548_WPSOffice_Level2"/>
      <w:bookmarkStart w:id="128" w:name="_Toc16873_WPSOffice_Level2"/>
      <w:r>
        <w:rPr>
          <w:rFonts w:hint="eastAsia" w:ascii="仿宋_GB2312" w:hAnsi="仿宋_GB2312" w:eastAsia="仿宋_GB2312" w:cs="仿宋_GB2312"/>
          <w:b/>
          <w:sz w:val="32"/>
          <w:szCs w:val="32"/>
        </w:rPr>
        <w:t>联合体协议书</w:t>
      </w:r>
      <w:bookmarkEnd w:id="127"/>
      <w:bookmarkEnd w:id="128"/>
    </w:p>
    <w:p>
      <w:pPr>
        <w:pStyle w:val="6"/>
        <w:spacing w:line="360" w:lineRule="auto"/>
        <w:rPr>
          <w:rFonts w:ascii="仿宋_GB2312" w:hAnsi="仿宋_GB2312" w:eastAsia="仿宋_GB2312" w:cs="仿宋_GB2312"/>
        </w:rPr>
      </w:pPr>
      <w:r>
        <w:rPr>
          <w:rFonts w:hint="eastAsia" w:ascii="仿宋_GB2312" w:hAnsi="仿宋_GB2312" w:eastAsia="仿宋_GB2312" w:cs="仿宋_GB2312"/>
          <w:u w:val="single"/>
        </w:rPr>
        <w:t>(采购人或采购代理机构)</w:t>
      </w:r>
      <w:r>
        <w:rPr>
          <w:rFonts w:hint="eastAsia" w:ascii="仿宋_GB2312" w:hAnsi="仿宋_GB2312" w:eastAsia="仿宋_GB2312" w:cs="仿宋_GB2312"/>
        </w:rPr>
        <w:t>：</w:t>
      </w:r>
    </w:p>
    <w:p>
      <w:pPr>
        <w:pStyle w:val="6"/>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经研究，我方决定自愿组成联合体共同参加</w:t>
      </w:r>
      <w:r>
        <w:rPr>
          <w:rFonts w:hint="eastAsia" w:ascii="仿宋_GB2312" w:hAnsi="仿宋_GB2312" w:eastAsia="仿宋_GB2312" w:cs="仿宋_GB2312"/>
          <w:u w:val="single"/>
        </w:rPr>
        <w:t>(项目名称、项目编号、包号)</w:t>
      </w:r>
      <w:r>
        <w:rPr>
          <w:rFonts w:hint="eastAsia" w:ascii="仿宋_GB2312" w:hAnsi="仿宋_GB2312" w:eastAsia="仿宋_GB2312" w:cs="仿宋_GB2312"/>
        </w:rPr>
        <w:t>项目的投标。现就联合体投标事宜订立如下协议：</w:t>
      </w:r>
    </w:p>
    <w:p>
      <w:pPr>
        <w:pStyle w:val="6"/>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一、联合体成员：</w:t>
      </w:r>
    </w:p>
    <w:p>
      <w:pPr>
        <w:pStyle w:val="6"/>
        <w:spacing w:line="360" w:lineRule="auto"/>
        <w:ind w:firstLine="420" w:firstLineChars="200"/>
        <w:rPr>
          <w:rFonts w:ascii="仿宋_GB2312" w:hAnsi="仿宋_GB2312" w:eastAsia="仿宋_GB2312" w:cs="仿宋_GB2312"/>
          <w:u w:val="single"/>
        </w:rPr>
      </w:pPr>
      <w:bookmarkStart w:id="129" w:name="_Toc23749_WPSOffice_Level2"/>
      <w:bookmarkStart w:id="130" w:name="_Toc15561_WPSOffice_Level2"/>
      <w:r>
        <w:rPr>
          <w:rFonts w:hint="eastAsia" w:ascii="仿宋_GB2312" w:hAnsi="仿宋_GB2312" w:eastAsia="仿宋_GB2312" w:cs="仿宋_GB2312"/>
        </w:rPr>
        <w:t>1.</w:t>
      </w:r>
      <w:bookmarkEnd w:id="129"/>
      <w:bookmarkEnd w:id="130"/>
      <w:r>
        <w:rPr>
          <w:rFonts w:hint="eastAsia" w:ascii="仿宋_GB2312" w:hAnsi="仿宋_GB2312" w:eastAsia="仿宋_GB2312" w:cs="仿宋_GB2312"/>
          <w:u w:val="single"/>
        </w:rPr>
        <w:t xml:space="preserve">                  </w:t>
      </w:r>
    </w:p>
    <w:p>
      <w:pPr>
        <w:pStyle w:val="6"/>
        <w:spacing w:line="360" w:lineRule="auto"/>
        <w:ind w:firstLine="420" w:firstLineChars="200"/>
        <w:rPr>
          <w:rFonts w:ascii="仿宋_GB2312" w:hAnsi="仿宋_GB2312" w:eastAsia="仿宋_GB2312" w:cs="仿宋_GB2312"/>
        </w:rPr>
      </w:pPr>
      <w:bookmarkStart w:id="131" w:name="_Toc22173_WPSOffice_Level2"/>
      <w:bookmarkStart w:id="132" w:name="_Toc405_WPSOffice_Level2"/>
      <w:r>
        <w:rPr>
          <w:rFonts w:hint="eastAsia" w:ascii="仿宋_GB2312" w:hAnsi="仿宋_GB2312" w:eastAsia="仿宋_GB2312" w:cs="仿宋_GB2312"/>
        </w:rPr>
        <w:t>2.</w:t>
      </w:r>
      <w:bookmarkEnd w:id="131"/>
      <w:bookmarkEnd w:id="132"/>
      <w:r>
        <w:rPr>
          <w:rFonts w:hint="eastAsia" w:ascii="仿宋_GB2312" w:hAnsi="仿宋_GB2312" w:eastAsia="仿宋_GB2312" w:cs="仿宋_GB2312"/>
          <w:u w:val="single"/>
        </w:rPr>
        <w:t xml:space="preserve">                  </w:t>
      </w:r>
    </w:p>
    <w:p>
      <w:pPr>
        <w:pStyle w:val="6"/>
        <w:spacing w:line="360" w:lineRule="auto"/>
        <w:ind w:firstLine="420" w:firstLineChars="200"/>
        <w:rPr>
          <w:rFonts w:ascii="仿宋_GB2312" w:hAnsi="仿宋_GB2312" w:eastAsia="仿宋_GB2312" w:cs="仿宋_GB2312"/>
        </w:rPr>
      </w:pPr>
      <w:bookmarkStart w:id="133" w:name="_Toc7084_WPSOffice_Level2"/>
      <w:bookmarkStart w:id="134" w:name="_Toc23482_WPSOffice_Level2"/>
      <w:r>
        <w:rPr>
          <w:rFonts w:hint="eastAsia" w:ascii="仿宋_GB2312" w:hAnsi="仿宋_GB2312" w:eastAsia="仿宋_GB2312" w:cs="仿宋_GB2312"/>
        </w:rPr>
        <w:t>3.</w:t>
      </w:r>
      <w:bookmarkEnd w:id="133"/>
      <w:bookmarkEnd w:id="134"/>
      <w:r>
        <w:rPr>
          <w:rFonts w:hint="eastAsia" w:ascii="仿宋_GB2312" w:hAnsi="仿宋_GB2312" w:eastAsia="仿宋_GB2312" w:cs="仿宋_GB2312"/>
          <w:u w:val="single"/>
        </w:rPr>
        <w:t xml:space="preserve">                  </w:t>
      </w:r>
    </w:p>
    <w:p>
      <w:pPr>
        <w:pStyle w:val="6"/>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二、</w:t>
      </w:r>
      <w:r>
        <w:rPr>
          <w:rFonts w:hint="eastAsia" w:ascii="仿宋_GB2312" w:hAnsi="仿宋_GB2312" w:eastAsia="仿宋_GB2312" w:cs="仿宋_GB2312"/>
          <w:u w:val="single"/>
        </w:rPr>
        <w:t>(某成员单位名称)</w:t>
      </w:r>
      <w:r>
        <w:rPr>
          <w:rFonts w:hint="eastAsia" w:ascii="仿宋_GB2312" w:hAnsi="仿宋_GB2312" w:eastAsia="仿宋_GB2312" w:cs="仿宋_GB2312"/>
        </w:rPr>
        <w:t>为(联合体名称)牵头人。</w:t>
      </w:r>
    </w:p>
    <w:p>
      <w:pPr>
        <w:pStyle w:val="6"/>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三、联合体牵头人合法代表联合体各成员负责本项目投标文件编制活动，代表联合体提交和接收相关的资料、信息及指示，并处理与投标或成交有关的一切事务；联合体中标后，联合体牵头人负责合同订立和合同实施阶段的主办、组织和协调工作。</w:t>
      </w:r>
    </w:p>
    <w:p>
      <w:pPr>
        <w:pStyle w:val="6"/>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四、联合体将严格按照招标文件的各项要求，递交投标文件，参加投标，履行中标义务和中标后的合同，并向采购人承担连带责任。</w:t>
      </w:r>
    </w:p>
    <w:p>
      <w:pPr>
        <w:pStyle w:val="6"/>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五、联合体各成员单位内部的职责分工如下：</w:t>
      </w:r>
      <w:r>
        <w:rPr>
          <w:rFonts w:hint="eastAsia" w:ascii="仿宋_GB2312" w:hAnsi="仿宋_GB2312" w:eastAsia="仿宋_GB2312" w:cs="仿宋_GB2312"/>
          <w:u w:val="single"/>
        </w:rPr>
        <w:t xml:space="preserve">                  </w:t>
      </w:r>
      <w:r>
        <w:rPr>
          <w:rFonts w:hint="eastAsia" w:ascii="仿宋_GB2312" w:hAnsi="仿宋_GB2312" w:eastAsia="仿宋_GB2312" w:cs="仿宋_GB2312"/>
        </w:rPr>
        <w:t>。按照本条上述分工，联合体成员单位各自所承担的合同工作量比例如下：</w:t>
      </w:r>
      <w:r>
        <w:rPr>
          <w:rFonts w:hint="eastAsia" w:ascii="仿宋_GB2312" w:hAnsi="仿宋_GB2312" w:eastAsia="仿宋_GB2312" w:cs="仿宋_GB2312"/>
          <w:u w:val="single"/>
        </w:rPr>
        <w:t xml:space="preserve">                  </w:t>
      </w:r>
      <w:r>
        <w:rPr>
          <w:rFonts w:hint="eastAsia" w:ascii="仿宋_GB2312" w:hAnsi="仿宋_GB2312" w:eastAsia="仿宋_GB2312" w:cs="仿宋_GB2312"/>
        </w:rPr>
        <w:t>。</w:t>
      </w:r>
    </w:p>
    <w:p>
      <w:pPr>
        <w:pStyle w:val="6"/>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六、本协议书自签署之日起生效，合同履行完毕后自动失效。</w:t>
      </w:r>
    </w:p>
    <w:p>
      <w:pPr>
        <w:pStyle w:val="6"/>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七、本协议书一式</w:t>
      </w:r>
      <w:r>
        <w:rPr>
          <w:rFonts w:hint="eastAsia" w:ascii="仿宋_GB2312" w:hAnsi="仿宋_GB2312" w:eastAsia="仿宋_GB2312" w:cs="仿宋_GB2312"/>
          <w:u w:val="single"/>
        </w:rPr>
        <w:t xml:space="preserve">  </w:t>
      </w:r>
      <w:r>
        <w:rPr>
          <w:rFonts w:hint="eastAsia" w:ascii="仿宋_GB2312" w:hAnsi="仿宋_GB2312" w:eastAsia="仿宋_GB2312" w:cs="仿宋_GB2312"/>
        </w:rPr>
        <w:t>份，联合体成员和采购人各执</w:t>
      </w:r>
      <w:r>
        <w:rPr>
          <w:rFonts w:hint="eastAsia" w:ascii="仿宋_GB2312" w:hAnsi="仿宋_GB2312" w:eastAsia="仿宋_GB2312" w:cs="仿宋_GB2312"/>
          <w:u w:val="single"/>
        </w:rPr>
        <w:t xml:space="preserve">  </w:t>
      </w:r>
      <w:r>
        <w:rPr>
          <w:rFonts w:hint="eastAsia" w:ascii="仿宋_GB2312" w:hAnsi="仿宋_GB2312" w:eastAsia="仿宋_GB2312" w:cs="仿宋_GB2312"/>
        </w:rPr>
        <w:t>份。</w:t>
      </w:r>
    </w:p>
    <w:p>
      <w:pPr>
        <w:pStyle w:val="6"/>
        <w:spacing w:line="360" w:lineRule="auto"/>
        <w:ind w:firstLine="420" w:firstLineChars="200"/>
        <w:rPr>
          <w:rFonts w:ascii="仿宋_GB2312" w:hAnsi="仿宋_GB2312" w:eastAsia="仿宋_GB2312" w:cs="仿宋_GB2312"/>
        </w:rPr>
      </w:pPr>
    </w:p>
    <w:p>
      <w:pPr>
        <w:pStyle w:val="6"/>
        <w:spacing w:line="360" w:lineRule="auto"/>
        <w:rPr>
          <w:rFonts w:ascii="仿宋_GB2312" w:hAnsi="仿宋_GB2312" w:eastAsia="仿宋_GB2312" w:cs="仿宋_GB2312"/>
          <w:u w:val="single"/>
        </w:rPr>
      </w:pPr>
      <w:r>
        <w:rPr>
          <w:rFonts w:hint="eastAsia" w:ascii="仿宋_GB2312" w:hAnsi="仿宋_GB2312" w:eastAsia="仿宋_GB2312" w:cs="仿宋_GB2312"/>
        </w:rPr>
        <w:t>牵头人名称(加盖单位公章)：</w:t>
      </w:r>
      <w:r>
        <w:rPr>
          <w:rFonts w:hint="eastAsia" w:ascii="仿宋_GB2312" w:hAnsi="仿宋_GB2312" w:eastAsia="仿宋_GB2312" w:cs="仿宋_GB2312"/>
          <w:u w:val="single"/>
        </w:rPr>
        <w:t xml:space="preserve">                            </w:t>
      </w:r>
    </w:p>
    <w:p>
      <w:pPr>
        <w:pStyle w:val="6"/>
        <w:spacing w:line="360" w:lineRule="auto"/>
        <w:rPr>
          <w:rFonts w:ascii="仿宋_GB2312" w:hAnsi="仿宋_GB2312" w:eastAsia="仿宋_GB2312" w:cs="仿宋_GB2312"/>
        </w:rPr>
      </w:pPr>
      <w:r>
        <w:rPr>
          <w:rFonts w:hint="eastAsia" w:ascii="仿宋_GB2312" w:hAnsi="仿宋_GB2312" w:eastAsia="仿宋_GB2312" w:cs="仿宋_GB2312"/>
        </w:rPr>
        <w:t>法定代表人或其授权委托人(签字或盖章)：</w:t>
      </w:r>
      <w:r>
        <w:rPr>
          <w:rFonts w:hint="eastAsia" w:ascii="仿宋_GB2312" w:hAnsi="仿宋_GB2312" w:eastAsia="仿宋_GB2312" w:cs="仿宋_GB2312"/>
          <w:u w:val="single"/>
        </w:rPr>
        <w:t xml:space="preserve">                  </w:t>
      </w:r>
    </w:p>
    <w:p>
      <w:pPr>
        <w:pStyle w:val="6"/>
        <w:spacing w:line="360" w:lineRule="auto"/>
        <w:ind w:firstLine="420" w:firstLineChars="200"/>
        <w:rPr>
          <w:rFonts w:ascii="仿宋_GB2312" w:hAnsi="仿宋_GB2312" w:eastAsia="仿宋_GB2312" w:cs="仿宋_GB2312"/>
        </w:rPr>
      </w:pPr>
    </w:p>
    <w:p>
      <w:pPr>
        <w:pStyle w:val="6"/>
        <w:spacing w:line="360" w:lineRule="auto"/>
        <w:rPr>
          <w:rFonts w:ascii="仿宋_GB2312" w:hAnsi="仿宋_GB2312" w:eastAsia="仿宋_GB2312" w:cs="仿宋_GB2312"/>
          <w:u w:val="single"/>
        </w:rPr>
      </w:pPr>
      <w:r>
        <w:rPr>
          <w:rFonts w:hint="eastAsia" w:ascii="仿宋_GB2312" w:hAnsi="仿宋_GB2312" w:eastAsia="仿宋_GB2312" w:cs="仿宋_GB2312"/>
        </w:rPr>
        <w:t>成员名称(加盖单位公章)：</w:t>
      </w:r>
      <w:r>
        <w:rPr>
          <w:rFonts w:hint="eastAsia" w:ascii="仿宋_GB2312" w:hAnsi="仿宋_GB2312" w:eastAsia="仿宋_GB2312" w:cs="仿宋_GB2312"/>
          <w:u w:val="single"/>
        </w:rPr>
        <w:t xml:space="preserve">                              </w:t>
      </w:r>
    </w:p>
    <w:p>
      <w:pPr>
        <w:pStyle w:val="6"/>
        <w:spacing w:line="360" w:lineRule="auto"/>
        <w:rPr>
          <w:rFonts w:ascii="仿宋_GB2312" w:hAnsi="仿宋_GB2312" w:eastAsia="仿宋_GB2312" w:cs="仿宋_GB2312"/>
          <w:u w:val="single"/>
        </w:rPr>
      </w:pPr>
      <w:r>
        <w:rPr>
          <w:rFonts w:hint="eastAsia" w:ascii="仿宋_GB2312" w:hAnsi="仿宋_GB2312" w:eastAsia="仿宋_GB2312" w:cs="仿宋_GB2312"/>
        </w:rPr>
        <w:t>法定代表人或其授权委托人(签字或盖章)：</w:t>
      </w:r>
      <w:r>
        <w:rPr>
          <w:rFonts w:hint="eastAsia" w:ascii="仿宋_GB2312" w:hAnsi="仿宋_GB2312" w:eastAsia="仿宋_GB2312" w:cs="仿宋_GB2312"/>
          <w:u w:val="single"/>
        </w:rPr>
        <w:t xml:space="preserve">                  </w:t>
      </w:r>
    </w:p>
    <w:p>
      <w:pPr>
        <w:spacing w:line="360" w:lineRule="exact"/>
        <w:ind w:right="1050" w:rightChars="500"/>
        <w:jc w:val="left"/>
        <w:rPr>
          <w:rFonts w:ascii="仿宋_GB2312" w:hAnsi="仿宋_GB2312" w:eastAsia="仿宋_GB2312" w:cs="仿宋_GB2312"/>
          <w:szCs w:val="21"/>
          <w:u w:val="single"/>
        </w:rPr>
      </w:pPr>
      <w:r>
        <w:rPr>
          <w:rFonts w:hint="eastAsia" w:ascii="仿宋_GB2312" w:hAnsi="仿宋_GB2312" w:eastAsia="仿宋_GB2312" w:cs="仿宋_GB2312"/>
          <w:szCs w:val="21"/>
        </w:rPr>
        <w:t>日期：</w:t>
      </w:r>
      <w:r>
        <w:rPr>
          <w:rFonts w:hint="eastAsia" w:ascii="仿宋_GB2312" w:hAnsi="仿宋_GB2312" w:eastAsia="仿宋_GB2312" w:cs="仿宋_GB2312"/>
          <w:u w:val="single"/>
        </w:rPr>
        <w:t xml:space="preserve">              </w:t>
      </w:r>
      <w:r>
        <w:rPr>
          <w:rFonts w:hint="eastAsia" w:ascii="仿宋_GB2312" w:hAnsi="仿宋_GB2312" w:eastAsia="仿宋_GB2312" w:cs="仿宋_GB2312"/>
          <w:szCs w:val="21"/>
        </w:rPr>
        <w:t xml:space="preserve"> </w:t>
      </w:r>
    </w:p>
    <w:p>
      <w:pPr>
        <w:adjustRightInd w:val="0"/>
        <w:snapToGrid w:val="0"/>
        <w:spacing w:line="360" w:lineRule="auto"/>
        <w:ind w:right="105" w:rightChars="50" w:firstLine="560"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格式10</w:t>
      </w:r>
    </w:p>
    <w:p>
      <w:pPr>
        <w:spacing w:before="319" w:beforeLines="100" w:after="319" w:afterLines="100" w:line="360" w:lineRule="auto"/>
        <w:ind w:right="-21" w:rightChars="-10"/>
        <w:jc w:val="center"/>
        <w:rPr>
          <w:rFonts w:ascii="仿宋_GB2312" w:hAnsi="仿宋_GB2312" w:eastAsia="仿宋_GB2312" w:cs="仿宋_GB2312"/>
          <w:b/>
          <w:sz w:val="32"/>
          <w:szCs w:val="32"/>
        </w:rPr>
      </w:pPr>
      <w:bookmarkStart w:id="135" w:name="_Toc14782_WPSOffice_Level2"/>
      <w:bookmarkStart w:id="136" w:name="_Toc24841_WPSOffice_Level2"/>
      <w:r>
        <w:rPr>
          <w:rFonts w:hint="eastAsia" w:ascii="仿宋_GB2312" w:hAnsi="仿宋_GB2312" w:eastAsia="仿宋_GB2312" w:cs="仿宋_GB2312"/>
          <w:b/>
          <w:sz w:val="32"/>
          <w:szCs w:val="32"/>
        </w:rPr>
        <w:t>投标函</w:t>
      </w:r>
      <w:bookmarkEnd w:id="135"/>
      <w:bookmarkEnd w:id="136"/>
    </w:p>
    <w:p>
      <w:pPr>
        <w:adjustRightInd w:val="0"/>
        <w:snapToGrid w:val="0"/>
        <w:spacing w:line="360" w:lineRule="auto"/>
        <w:ind w:right="630" w:rightChars="300"/>
        <w:rPr>
          <w:rFonts w:ascii="仿宋_GB2312" w:hAnsi="仿宋_GB2312" w:eastAsia="仿宋_GB2312" w:cs="仿宋_GB2312"/>
          <w:szCs w:val="21"/>
          <w:u w:val="single"/>
        </w:rPr>
      </w:pPr>
      <w:r>
        <w:rPr>
          <w:rFonts w:hint="eastAsia" w:ascii="仿宋_GB2312" w:hAnsi="仿宋_GB2312" w:eastAsia="仿宋_GB2312" w:cs="仿宋_GB2312"/>
          <w:szCs w:val="21"/>
          <w:u w:val="single"/>
        </w:rPr>
        <w:t>（采购人或采购代理机构）：</w:t>
      </w:r>
    </w:p>
    <w:p>
      <w:pPr>
        <w:adjustRightInd w:val="0"/>
        <w:snapToGrid w:val="0"/>
        <w:spacing w:line="360" w:lineRule="auto"/>
        <w:ind w:right="-21" w:rightChars="-10"/>
        <w:rPr>
          <w:rFonts w:ascii="仿宋_GB2312" w:hAnsi="仿宋_GB2312" w:eastAsia="仿宋_GB2312" w:cs="仿宋_GB2312"/>
          <w:szCs w:val="21"/>
        </w:rPr>
      </w:pPr>
      <w:r>
        <w:rPr>
          <w:rFonts w:hint="eastAsia" w:ascii="仿宋_GB2312" w:hAnsi="仿宋_GB2312" w:eastAsia="仿宋_GB2312" w:cs="仿宋_GB2312"/>
          <w:szCs w:val="21"/>
        </w:rPr>
        <w:t xml:space="preserve">    根据贵方</w:t>
      </w:r>
      <w:r>
        <w:rPr>
          <w:rFonts w:hint="eastAsia" w:ascii="仿宋_GB2312" w:hAnsi="仿宋_GB2312" w:eastAsia="仿宋_GB2312" w:cs="仿宋_GB2312"/>
          <w:szCs w:val="21"/>
          <w:u w:val="single"/>
        </w:rPr>
        <w:t>(项目名称)</w:t>
      </w:r>
      <w:r>
        <w:rPr>
          <w:rFonts w:hint="eastAsia" w:ascii="仿宋_GB2312" w:hAnsi="仿宋_GB2312" w:eastAsia="仿宋_GB2312" w:cs="仿宋_GB2312"/>
          <w:szCs w:val="21"/>
        </w:rPr>
        <w:t>项目的招标公告</w:t>
      </w:r>
      <w:r>
        <w:rPr>
          <w:rFonts w:hint="eastAsia" w:ascii="仿宋_GB2312" w:hAnsi="仿宋_GB2312" w:eastAsia="仿宋_GB2312" w:cs="仿宋_GB2312"/>
          <w:szCs w:val="21"/>
          <w:u w:val="single"/>
        </w:rPr>
        <w:t>(招标编号)</w:t>
      </w:r>
      <w:r>
        <w:rPr>
          <w:rFonts w:hint="eastAsia" w:ascii="仿宋_GB2312" w:hAnsi="仿宋_GB2312" w:eastAsia="仿宋_GB2312" w:cs="仿宋_GB2312"/>
          <w:szCs w:val="21"/>
        </w:rPr>
        <w:t>,签字代表</w:t>
      </w:r>
      <w:r>
        <w:rPr>
          <w:rFonts w:hint="eastAsia" w:ascii="仿宋_GB2312" w:hAnsi="仿宋_GB2312" w:eastAsia="仿宋_GB2312" w:cs="仿宋_GB2312"/>
          <w:szCs w:val="21"/>
          <w:u w:val="single"/>
        </w:rPr>
        <w:t>(姓名、职务)</w:t>
      </w:r>
      <w:r>
        <w:rPr>
          <w:rFonts w:hint="eastAsia" w:ascii="仿宋_GB2312" w:hAnsi="仿宋_GB2312" w:eastAsia="仿宋_GB2312" w:cs="仿宋_GB2312"/>
          <w:szCs w:val="21"/>
        </w:rPr>
        <w:t>经正式授权并代表投标人</w:t>
      </w:r>
      <w:r>
        <w:rPr>
          <w:rFonts w:hint="eastAsia" w:ascii="仿宋_GB2312" w:hAnsi="仿宋_GB2312" w:eastAsia="仿宋_GB2312" w:cs="仿宋_GB2312"/>
          <w:szCs w:val="21"/>
          <w:u w:val="single"/>
        </w:rPr>
        <w:t>（名称、地址）</w:t>
      </w:r>
      <w:r>
        <w:rPr>
          <w:rFonts w:hint="eastAsia" w:ascii="仿宋_GB2312" w:hAnsi="仿宋_GB2312" w:eastAsia="仿宋_GB2312" w:cs="仿宋_GB2312"/>
          <w:szCs w:val="21"/>
        </w:rPr>
        <w:t>提交下述文件正本</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份、副本</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份及电子文档</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份，并以</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形式出具的金额为</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人民币元的投标保证金。</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据此，签字代表宣布同意如下：</w:t>
      </w:r>
    </w:p>
    <w:p>
      <w:pPr>
        <w:numPr>
          <w:ilvl w:val="0"/>
          <w:numId w:val="4"/>
        </w:num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本项目投标总价详见开标一览表。</w:t>
      </w:r>
    </w:p>
    <w:p>
      <w:pPr>
        <w:numPr>
          <w:ilvl w:val="0"/>
          <w:numId w:val="4"/>
        </w:num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本投标有效期为自递交投标文件截止之日起</w:t>
      </w:r>
      <w:r>
        <w:rPr>
          <w:rFonts w:hint="eastAsia" w:ascii="仿宋_GB2312" w:hAnsi="仿宋_GB2312" w:eastAsia="仿宋_GB2312" w:cs="仿宋_GB2312"/>
          <w:szCs w:val="21"/>
          <w:u w:val="single"/>
        </w:rPr>
        <w:t>90</w:t>
      </w:r>
      <w:r>
        <w:rPr>
          <w:rFonts w:hint="eastAsia" w:ascii="仿宋_GB2312" w:hAnsi="仿宋_GB2312" w:eastAsia="仿宋_GB2312" w:cs="仿宋_GB2312"/>
          <w:szCs w:val="21"/>
        </w:rPr>
        <w:t>日历日。</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（3）已详细审查全部招标文件，包括所有补充通知（如果有的话）。</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（4）在规定的开标时间后，遵守招标文件中有关保证金的规定。</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（5）我方不是为本项目提供整体设计、规范编制或者项目管理、监理、检测等服务的供应商，我方不是采购代理机构的附属机构。</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（6）在领取中标通知书的同时按招标文件规定的形式，向采购代理机构一次性支付采购代理服务费（适用于中标人支付采购代理服务费情形）。</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（7）按照贵方可能要求，提供与其投标有关的一切数据或资料，完全理解贵方不一定接受最低价的投标或收到的任何投标。</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（8）按照招标文件的规定履行合同责任和义务。</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（9）我方承诺投标文件中的证明材料真实、合法、有效。</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其他事项：</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w:t>
      </w:r>
    </w:p>
    <w:p>
      <w:pPr>
        <w:tabs>
          <w:tab w:val="left" w:pos="10467"/>
        </w:tabs>
        <w:adjustRightInd w:val="0"/>
        <w:snapToGrid w:val="0"/>
        <w:spacing w:line="360" w:lineRule="auto"/>
        <w:ind w:right="1050" w:rightChars="500" w:firstLine="476" w:firstLineChars="227"/>
        <w:rPr>
          <w:rFonts w:ascii="仿宋_GB2312" w:hAnsi="仿宋_GB2312" w:eastAsia="仿宋_GB2312" w:cs="仿宋_GB2312"/>
          <w:szCs w:val="21"/>
        </w:rPr>
      </w:pPr>
    </w:p>
    <w:p>
      <w:pPr>
        <w:tabs>
          <w:tab w:val="left" w:pos="10467"/>
        </w:tabs>
        <w:adjustRightInd w:val="0"/>
        <w:snapToGrid w:val="0"/>
        <w:spacing w:line="360" w:lineRule="auto"/>
        <w:ind w:right="1050" w:rightChars="500" w:firstLine="476" w:firstLineChars="227"/>
        <w:rPr>
          <w:rFonts w:ascii="仿宋_GB2312" w:hAnsi="仿宋_GB2312" w:eastAsia="仿宋_GB2312" w:cs="仿宋_GB2312"/>
          <w:szCs w:val="21"/>
        </w:rPr>
      </w:pPr>
    </w:p>
    <w:p>
      <w:pPr>
        <w:tabs>
          <w:tab w:val="left" w:pos="10467"/>
        </w:tabs>
        <w:adjustRightInd w:val="0"/>
        <w:snapToGrid w:val="0"/>
        <w:spacing w:line="360" w:lineRule="auto"/>
        <w:ind w:right="1050" w:rightChars="500" w:firstLine="476" w:firstLineChars="227"/>
        <w:rPr>
          <w:rFonts w:ascii="仿宋_GB2312" w:hAnsi="仿宋_GB2312" w:eastAsia="仿宋_GB2312" w:cs="仿宋_GB2312"/>
          <w:szCs w:val="21"/>
        </w:rPr>
      </w:pPr>
    </w:p>
    <w:p>
      <w:pPr>
        <w:adjustRightInd w:val="0"/>
        <w:snapToGrid w:val="0"/>
        <w:spacing w:line="360" w:lineRule="auto"/>
        <w:ind w:right="-21" w:rightChars="-10"/>
        <w:rPr>
          <w:rFonts w:ascii="仿宋_GB2312" w:hAnsi="仿宋_GB2312" w:eastAsia="仿宋_GB2312" w:cs="仿宋_GB2312"/>
          <w:szCs w:val="21"/>
        </w:rPr>
      </w:pPr>
      <w:r>
        <w:rPr>
          <w:rFonts w:hint="eastAsia" w:ascii="仿宋_GB2312" w:hAnsi="仿宋_GB2312" w:eastAsia="仿宋_GB2312" w:cs="仿宋_GB2312"/>
          <w:szCs w:val="21"/>
        </w:rPr>
        <w:t>与本项目有关的一切往来通讯请寄</w:t>
      </w:r>
    </w:p>
    <w:p>
      <w:pPr>
        <w:adjustRightInd w:val="0"/>
        <w:snapToGrid w:val="0"/>
        <w:spacing w:line="360" w:lineRule="auto"/>
        <w:ind w:right="-21" w:rightChars="-10"/>
        <w:rPr>
          <w:rFonts w:ascii="仿宋_GB2312" w:hAnsi="仿宋_GB2312" w:eastAsia="仿宋_GB2312" w:cs="仿宋_GB2312"/>
          <w:szCs w:val="21"/>
          <w:u w:val="single"/>
        </w:rPr>
      </w:pPr>
      <w:r>
        <w:rPr>
          <w:rFonts w:hint="eastAsia" w:ascii="仿宋_GB2312" w:hAnsi="仿宋_GB2312" w:eastAsia="仿宋_GB2312" w:cs="仿宋_GB2312"/>
          <w:szCs w:val="21"/>
        </w:rPr>
        <w:t>地址：</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传真：</w:t>
      </w:r>
      <w:r>
        <w:rPr>
          <w:rFonts w:hint="eastAsia" w:ascii="仿宋_GB2312" w:hAnsi="仿宋_GB2312" w:eastAsia="仿宋_GB2312" w:cs="仿宋_GB2312"/>
          <w:szCs w:val="21"/>
          <w:u w:val="single"/>
        </w:rPr>
        <w:t xml:space="preserve">                         </w:t>
      </w:r>
    </w:p>
    <w:p>
      <w:pPr>
        <w:adjustRightInd w:val="0"/>
        <w:snapToGrid w:val="0"/>
        <w:spacing w:line="360" w:lineRule="auto"/>
        <w:ind w:right="-21" w:rightChars="-10"/>
        <w:rPr>
          <w:rFonts w:ascii="仿宋_GB2312" w:hAnsi="仿宋_GB2312" w:eastAsia="仿宋_GB2312" w:cs="仿宋_GB2312"/>
          <w:szCs w:val="21"/>
          <w:u w:val="single"/>
        </w:rPr>
      </w:pPr>
      <w:r>
        <w:rPr>
          <w:rFonts w:hint="eastAsia" w:ascii="仿宋_GB2312" w:hAnsi="仿宋_GB2312" w:eastAsia="仿宋_GB2312" w:cs="仿宋_GB2312"/>
          <w:szCs w:val="21"/>
        </w:rPr>
        <w:t>电话：</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电子邮件：</w:t>
      </w:r>
      <w:r>
        <w:rPr>
          <w:rFonts w:hint="eastAsia" w:ascii="仿宋_GB2312" w:hAnsi="仿宋_GB2312" w:eastAsia="仿宋_GB2312" w:cs="仿宋_GB2312"/>
          <w:szCs w:val="21"/>
          <w:u w:val="single"/>
        </w:rPr>
        <w:t xml:space="preserve">                     </w:t>
      </w:r>
    </w:p>
    <w:p>
      <w:pPr>
        <w:adjustRightInd w:val="0"/>
        <w:snapToGrid w:val="0"/>
        <w:spacing w:line="360" w:lineRule="auto"/>
        <w:ind w:right="-21" w:rightChars="-10"/>
        <w:rPr>
          <w:rFonts w:ascii="仿宋_GB2312" w:hAnsi="仿宋_GB2312" w:eastAsia="仿宋_GB2312" w:cs="仿宋_GB2312"/>
          <w:szCs w:val="21"/>
          <w:u w:val="single"/>
        </w:rPr>
      </w:pPr>
      <w:r>
        <w:rPr>
          <w:rFonts w:hint="eastAsia" w:ascii="仿宋_GB2312" w:hAnsi="仿宋_GB2312" w:eastAsia="仿宋_GB2312" w:cs="仿宋_GB2312"/>
          <w:szCs w:val="21"/>
        </w:rPr>
        <w:t>法定代表人（非法人组织负责人）或其授权委托人（签字或盖章）：</w:t>
      </w:r>
      <w:r>
        <w:rPr>
          <w:rFonts w:hint="eastAsia" w:ascii="仿宋_GB2312" w:hAnsi="仿宋_GB2312" w:eastAsia="仿宋_GB2312" w:cs="仿宋_GB2312"/>
          <w:szCs w:val="21"/>
          <w:u w:val="single"/>
        </w:rPr>
        <w:t xml:space="preserve">       </w:t>
      </w:r>
    </w:p>
    <w:p>
      <w:pPr>
        <w:adjustRightInd w:val="0"/>
        <w:snapToGrid w:val="0"/>
        <w:spacing w:line="360" w:lineRule="auto"/>
        <w:ind w:right="-21" w:rightChars="-10"/>
        <w:rPr>
          <w:rFonts w:ascii="仿宋_GB2312" w:hAnsi="仿宋_GB2312" w:eastAsia="仿宋_GB2312" w:cs="仿宋_GB2312"/>
          <w:szCs w:val="21"/>
        </w:rPr>
      </w:pPr>
      <w:r>
        <w:rPr>
          <w:rFonts w:hint="eastAsia" w:ascii="仿宋_GB2312" w:hAnsi="仿宋_GB2312" w:eastAsia="仿宋_GB2312" w:cs="仿宋_GB2312"/>
          <w:szCs w:val="21"/>
        </w:rPr>
        <w:t>投标人名称（加盖单位公章）：</w:t>
      </w:r>
      <w:r>
        <w:rPr>
          <w:rFonts w:hint="eastAsia" w:ascii="仿宋_GB2312" w:hAnsi="仿宋_GB2312" w:eastAsia="仿宋_GB2312" w:cs="仿宋_GB2312"/>
          <w:szCs w:val="21"/>
          <w:u w:val="single"/>
        </w:rPr>
        <w:t xml:space="preserve">          </w:t>
      </w:r>
    </w:p>
    <w:p>
      <w:pPr>
        <w:adjustRightInd w:val="0"/>
        <w:snapToGrid w:val="0"/>
        <w:spacing w:line="360" w:lineRule="auto"/>
        <w:ind w:right="-21" w:rightChars="-10"/>
        <w:rPr>
          <w:rFonts w:ascii="仿宋_GB2312" w:hAnsi="仿宋_GB2312" w:eastAsia="仿宋_GB2312" w:cs="仿宋_GB2312"/>
          <w:szCs w:val="21"/>
        </w:rPr>
      </w:pPr>
      <w:r>
        <w:rPr>
          <w:rFonts w:hint="eastAsia" w:ascii="仿宋_GB2312" w:hAnsi="仿宋_GB2312" w:eastAsia="仿宋_GB2312" w:cs="仿宋_GB2312"/>
          <w:szCs w:val="21"/>
        </w:rPr>
        <w:t>投标人开户银行（全称）：</w:t>
      </w:r>
      <w:r>
        <w:rPr>
          <w:rFonts w:hint="eastAsia" w:ascii="仿宋_GB2312" w:hAnsi="仿宋_GB2312" w:eastAsia="仿宋_GB2312" w:cs="仿宋_GB2312"/>
          <w:szCs w:val="21"/>
          <w:u w:val="single"/>
        </w:rPr>
        <w:t xml:space="preserve">              </w:t>
      </w:r>
    </w:p>
    <w:p>
      <w:pPr>
        <w:adjustRightInd w:val="0"/>
        <w:snapToGrid w:val="0"/>
        <w:spacing w:line="360" w:lineRule="auto"/>
        <w:ind w:right="-21" w:rightChars="-10"/>
        <w:rPr>
          <w:rFonts w:ascii="仿宋_GB2312" w:hAnsi="仿宋_GB2312" w:eastAsia="仿宋_GB2312" w:cs="仿宋_GB2312"/>
          <w:szCs w:val="21"/>
        </w:rPr>
      </w:pPr>
      <w:r>
        <w:rPr>
          <w:rFonts w:hint="eastAsia" w:ascii="仿宋_GB2312" w:hAnsi="仿宋_GB2312" w:eastAsia="仿宋_GB2312" w:cs="仿宋_GB2312"/>
          <w:szCs w:val="21"/>
        </w:rPr>
        <w:t>投标人银行账号：</w:t>
      </w:r>
      <w:r>
        <w:rPr>
          <w:rFonts w:hint="eastAsia" w:ascii="仿宋_GB2312" w:hAnsi="仿宋_GB2312" w:eastAsia="仿宋_GB2312" w:cs="仿宋_GB2312"/>
          <w:szCs w:val="21"/>
          <w:u w:val="single"/>
        </w:rPr>
        <w:t xml:space="preserve">                      </w:t>
      </w:r>
    </w:p>
    <w:p>
      <w:pPr>
        <w:adjustRightInd w:val="0"/>
        <w:snapToGrid w:val="0"/>
        <w:spacing w:line="360" w:lineRule="auto"/>
        <w:ind w:right="1050" w:rightChars="500"/>
        <w:rPr>
          <w:rFonts w:ascii="仿宋_GB2312" w:hAnsi="仿宋_GB2312" w:eastAsia="仿宋_GB2312" w:cs="仿宋_GB2312"/>
          <w:szCs w:val="21"/>
        </w:rPr>
      </w:pPr>
      <w:r>
        <w:rPr>
          <w:rFonts w:hint="eastAsia" w:ascii="仿宋_GB2312" w:hAnsi="仿宋_GB2312" w:eastAsia="仿宋_GB2312" w:cs="仿宋_GB2312"/>
          <w:szCs w:val="21"/>
        </w:rPr>
        <w:t>日    期：</w:t>
      </w:r>
      <w:r>
        <w:rPr>
          <w:rFonts w:hint="eastAsia" w:ascii="仿宋_GB2312" w:hAnsi="仿宋_GB2312" w:eastAsia="仿宋_GB2312" w:cs="仿宋_GB2312"/>
          <w:szCs w:val="21"/>
          <w:u w:val="single"/>
        </w:rPr>
        <w:t xml:space="preserve">                            </w:t>
      </w:r>
    </w:p>
    <w:p>
      <w:pPr>
        <w:adjustRightInd w:val="0"/>
        <w:snapToGrid w:val="0"/>
        <w:spacing w:line="360" w:lineRule="auto"/>
        <w:ind w:right="1050" w:rightChars="500" w:firstLine="476" w:firstLineChars="227"/>
        <w:rPr>
          <w:rFonts w:ascii="仿宋_GB2312" w:hAnsi="仿宋_GB2312" w:eastAsia="仿宋_GB2312" w:cs="仿宋_GB2312"/>
          <w:szCs w:val="21"/>
        </w:rPr>
      </w:pP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格式11</w:t>
      </w:r>
    </w:p>
    <w:p>
      <w:pPr>
        <w:adjustRightInd w:val="0"/>
        <w:snapToGrid w:val="0"/>
        <w:spacing w:before="319" w:beforeLines="100" w:after="319" w:afterLines="100" w:line="360" w:lineRule="auto"/>
        <w:ind w:right="105" w:rightChars="50"/>
        <w:jc w:val="center"/>
        <w:rPr>
          <w:rFonts w:ascii="仿宋_GB2312" w:hAnsi="仿宋_GB2312" w:eastAsia="仿宋_GB2312" w:cs="仿宋_GB2312"/>
          <w:b/>
          <w:bCs/>
          <w:sz w:val="32"/>
          <w:szCs w:val="32"/>
        </w:rPr>
      </w:pPr>
      <w:bookmarkStart w:id="137" w:name="_Toc2673_WPSOffice_Level2"/>
      <w:bookmarkStart w:id="138" w:name="_Toc11267_WPSOffice_Level2"/>
      <w:r>
        <w:rPr>
          <w:rFonts w:hint="eastAsia" w:ascii="仿宋_GB2312" w:hAnsi="仿宋_GB2312" w:eastAsia="仿宋_GB2312" w:cs="仿宋_GB2312"/>
          <w:b/>
          <w:bCs/>
          <w:sz w:val="32"/>
          <w:szCs w:val="32"/>
        </w:rPr>
        <w:t>开标一览表</w:t>
      </w:r>
      <w:bookmarkEnd w:id="137"/>
      <w:bookmarkEnd w:id="138"/>
    </w:p>
    <w:p>
      <w:pPr>
        <w:adjustRightInd w:val="0"/>
        <w:snapToGrid w:val="0"/>
        <w:spacing w:line="360" w:lineRule="auto"/>
        <w:ind w:right="105" w:rightChars="50"/>
        <w:jc w:val="left"/>
        <w:rPr>
          <w:rFonts w:ascii="仿宋_GB2312" w:hAnsi="仿宋_GB2312" w:eastAsia="仿宋_GB2312" w:cs="仿宋_GB2312"/>
          <w:b/>
          <w:bCs/>
          <w:szCs w:val="21"/>
        </w:rPr>
      </w:pPr>
      <w:r>
        <w:rPr>
          <w:rFonts w:hint="eastAsia" w:ascii="仿宋_GB2312" w:hAnsi="仿宋_GB2312" w:eastAsia="仿宋_GB2312" w:cs="仿宋_GB2312"/>
          <w:b/>
          <w:bCs/>
          <w:szCs w:val="21"/>
        </w:rPr>
        <w:t>包号：0</w:t>
      </w:r>
      <w:r>
        <w:rPr>
          <w:rFonts w:ascii="仿宋_GB2312" w:hAnsi="仿宋_GB2312" w:eastAsia="仿宋_GB2312" w:cs="仿宋_GB2312"/>
          <w:b/>
          <w:bCs/>
          <w:szCs w:val="21"/>
        </w:rPr>
        <w:t>01</w:t>
      </w:r>
      <w:r>
        <w:rPr>
          <w:rFonts w:hint="eastAsia" w:ascii="仿宋_GB2312" w:hAnsi="仿宋_GB2312" w:eastAsia="仿宋_GB2312" w:cs="仿宋_GB2312"/>
          <w:b/>
          <w:bCs/>
          <w:szCs w:val="21"/>
        </w:rPr>
        <w:t xml:space="preserve">                      </w:t>
      </w:r>
      <w:r>
        <w:rPr>
          <w:rFonts w:ascii="仿宋_GB2312" w:hAnsi="仿宋_GB2312" w:eastAsia="仿宋_GB2312" w:cs="仿宋_GB2312"/>
          <w:b/>
          <w:bCs/>
          <w:szCs w:val="21"/>
        </w:rPr>
        <w:t xml:space="preserve"> </w:t>
      </w:r>
      <w:r>
        <w:rPr>
          <w:rFonts w:hint="eastAsia" w:ascii="仿宋_GB2312" w:hAnsi="仿宋_GB2312" w:eastAsia="仿宋_GB2312" w:cs="仿宋_GB2312"/>
          <w:b/>
          <w:bCs/>
          <w:szCs w:val="21"/>
        </w:rPr>
        <w:t xml:space="preserve">                       </w:t>
      </w:r>
      <w:r>
        <w:rPr>
          <w:rFonts w:ascii="仿宋_GB2312" w:hAnsi="仿宋_GB2312" w:eastAsia="仿宋_GB2312" w:cs="仿宋_GB2312"/>
          <w:b/>
          <w:bCs/>
          <w:szCs w:val="21"/>
        </w:rPr>
        <w:t xml:space="preserve">       </w:t>
      </w:r>
      <w:r>
        <w:rPr>
          <w:rFonts w:hint="eastAsia" w:ascii="仿宋_GB2312" w:hAnsi="仿宋_GB2312" w:eastAsia="仿宋_GB2312" w:cs="仿宋_GB2312"/>
          <w:b/>
          <w:bCs/>
          <w:szCs w:val="21"/>
        </w:rPr>
        <w:t xml:space="preserve"> 报价单位（元）：</w:t>
      </w:r>
    </w:p>
    <w:tbl>
      <w:tblPr>
        <w:tblStyle w:val="12"/>
        <w:tblW w:w="8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2373"/>
        <w:gridCol w:w="1309"/>
        <w:gridCol w:w="1109"/>
        <w:gridCol w:w="1252"/>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549" w:type="dxa"/>
            <w:vAlign w:val="center"/>
          </w:tcPr>
          <w:p>
            <w:pPr>
              <w:adjustRightInd w:val="0"/>
              <w:snapToGrid w:val="0"/>
              <w:ind w:left="-54" w:leftChars="-26" w:right="-46" w:rightChars="-22"/>
              <w:jc w:val="center"/>
              <w:rPr>
                <w:rFonts w:ascii="仿宋_GB2312" w:hAnsi="仿宋_GB2312" w:eastAsia="仿宋_GB2312" w:cs="仿宋_GB2312"/>
                <w:szCs w:val="21"/>
              </w:rPr>
            </w:pPr>
            <w:r>
              <w:rPr>
                <w:rFonts w:hint="eastAsia" w:ascii="仿宋_GB2312" w:hAnsi="仿宋_GB2312" w:eastAsia="仿宋_GB2312" w:cs="仿宋_GB2312"/>
                <w:szCs w:val="21"/>
              </w:rPr>
              <w:t>服务名称</w:t>
            </w:r>
          </w:p>
        </w:tc>
        <w:tc>
          <w:tcPr>
            <w:tcW w:w="2373" w:type="dxa"/>
            <w:vAlign w:val="center"/>
          </w:tcPr>
          <w:p>
            <w:pPr>
              <w:adjustRightInd w:val="0"/>
              <w:snapToGrid w:val="0"/>
              <w:ind w:left="-54" w:leftChars="-26" w:right="-46" w:rightChars="-22"/>
              <w:jc w:val="center"/>
              <w:rPr>
                <w:rFonts w:ascii="仿宋_GB2312" w:hAnsi="仿宋_GB2312" w:eastAsia="仿宋_GB2312" w:cs="仿宋_GB2312"/>
                <w:szCs w:val="21"/>
              </w:rPr>
            </w:pPr>
            <w:r>
              <w:rPr>
                <w:rFonts w:hint="eastAsia" w:ascii="仿宋_GB2312" w:hAnsi="仿宋_GB2312" w:eastAsia="仿宋_GB2312" w:cs="仿宋_GB2312"/>
                <w:szCs w:val="21"/>
              </w:rPr>
              <w:t>投标总价</w:t>
            </w:r>
          </w:p>
        </w:tc>
        <w:tc>
          <w:tcPr>
            <w:tcW w:w="1309" w:type="dxa"/>
            <w:vAlign w:val="center"/>
          </w:tcPr>
          <w:p>
            <w:pPr>
              <w:adjustRightInd w:val="0"/>
              <w:snapToGrid w:val="0"/>
              <w:ind w:left="-54" w:leftChars="-26" w:right="-46" w:rightChars="-22"/>
              <w:jc w:val="center"/>
              <w:rPr>
                <w:rFonts w:ascii="仿宋_GB2312" w:hAnsi="仿宋_GB2312" w:eastAsia="仿宋_GB2312" w:cs="仿宋_GB2312"/>
                <w:szCs w:val="21"/>
              </w:rPr>
            </w:pPr>
            <w:r>
              <w:rPr>
                <w:rFonts w:hint="eastAsia" w:ascii="仿宋_GB2312" w:hAnsi="仿宋_GB2312" w:eastAsia="仿宋_GB2312" w:cs="仿宋_GB2312"/>
                <w:szCs w:val="21"/>
              </w:rPr>
              <w:t>投标保证金</w:t>
            </w:r>
          </w:p>
        </w:tc>
        <w:tc>
          <w:tcPr>
            <w:tcW w:w="1109" w:type="dxa"/>
            <w:vAlign w:val="center"/>
          </w:tcPr>
          <w:p>
            <w:pPr>
              <w:adjustRightInd w:val="0"/>
              <w:snapToGrid w:val="0"/>
              <w:ind w:right="-33" w:rightChars="-16"/>
              <w:jc w:val="center"/>
              <w:rPr>
                <w:rFonts w:ascii="仿宋_GB2312" w:hAnsi="仿宋_GB2312" w:eastAsia="仿宋_GB2312" w:cs="仿宋_GB2312"/>
                <w:szCs w:val="21"/>
              </w:rPr>
            </w:pPr>
            <w:r>
              <w:rPr>
                <w:rFonts w:hint="eastAsia" w:ascii="仿宋_GB2312" w:hAnsi="仿宋_GB2312" w:eastAsia="仿宋_GB2312" w:cs="仿宋_GB2312"/>
                <w:szCs w:val="21"/>
              </w:rPr>
              <w:t>履约期限</w:t>
            </w:r>
          </w:p>
        </w:tc>
        <w:tc>
          <w:tcPr>
            <w:tcW w:w="1252" w:type="dxa"/>
            <w:vAlign w:val="center"/>
          </w:tcPr>
          <w:p>
            <w:pPr>
              <w:adjustRightInd w:val="0"/>
              <w:snapToGrid w:val="0"/>
              <w:ind w:right="-42" w:rightChars="-20"/>
              <w:jc w:val="center"/>
              <w:rPr>
                <w:rFonts w:ascii="仿宋_GB2312" w:hAnsi="仿宋_GB2312" w:eastAsia="仿宋_GB2312" w:cs="仿宋_GB2312"/>
                <w:szCs w:val="21"/>
              </w:rPr>
            </w:pPr>
            <w:r>
              <w:rPr>
                <w:rFonts w:hint="eastAsia" w:ascii="仿宋_GB2312" w:hAnsi="仿宋_GB2312" w:eastAsia="仿宋_GB2312" w:cs="仿宋_GB2312"/>
                <w:szCs w:val="21"/>
              </w:rPr>
              <w:t>履约地点</w:t>
            </w:r>
          </w:p>
        </w:tc>
        <w:tc>
          <w:tcPr>
            <w:tcW w:w="951" w:type="dxa"/>
            <w:vAlign w:val="center"/>
          </w:tcPr>
          <w:p>
            <w:pPr>
              <w:adjustRightInd w:val="0"/>
              <w:snapToGrid w:val="0"/>
              <w:ind w:left="-54" w:leftChars="-26" w:right="-46" w:rightChars="-22"/>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549" w:type="dxa"/>
            <w:vAlign w:val="center"/>
          </w:tcPr>
          <w:p>
            <w:pPr>
              <w:adjustRightInd w:val="0"/>
              <w:snapToGrid w:val="0"/>
              <w:ind w:left="-54" w:leftChars="-26" w:right="-46" w:rightChars="-22"/>
              <w:jc w:val="center"/>
              <w:rPr>
                <w:rFonts w:ascii="仿宋_GB2312" w:hAnsi="仿宋_GB2312" w:eastAsia="仿宋_GB2312" w:cs="仿宋_GB2312"/>
                <w:szCs w:val="21"/>
              </w:rPr>
            </w:pPr>
            <w:r>
              <w:rPr>
                <w:rFonts w:hint="eastAsia" w:ascii="仿宋_GB2312" w:hAnsi="仿宋_GB2312" w:eastAsia="仿宋_GB2312" w:cs="仿宋_GB2312"/>
                <w:szCs w:val="21"/>
              </w:rPr>
              <w:t>铁岭县集体土地所有权确权登记更新成果、集体建设用地使用权成果入库汇交和林业林权登记成果更新数据入库汇交</w:t>
            </w:r>
          </w:p>
        </w:tc>
        <w:tc>
          <w:tcPr>
            <w:tcW w:w="2373" w:type="dxa"/>
            <w:vAlign w:val="center"/>
          </w:tcPr>
          <w:p>
            <w:pPr>
              <w:adjustRightInd w:val="0"/>
              <w:snapToGrid w:val="0"/>
              <w:ind w:left="-54" w:leftChars="-26" w:right="-46" w:rightChars="-22"/>
              <w:jc w:val="left"/>
              <w:rPr>
                <w:rFonts w:ascii="仿宋_GB2312" w:hAnsi="仿宋_GB2312" w:eastAsia="仿宋_GB2312" w:cs="仿宋_GB2312"/>
                <w:szCs w:val="21"/>
              </w:rPr>
            </w:pPr>
            <w:r>
              <w:rPr>
                <w:rFonts w:hint="eastAsia" w:ascii="仿宋_GB2312" w:hAnsi="仿宋_GB2312" w:eastAsia="仿宋_GB2312" w:cs="仿宋_GB2312"/>
                <w:szCs w:val="21"/>
              </w:rPr>
              <w:t>小写：</w:t>
            </w:r>
          </w:p>
          <w:p>
            <w:pPr>
              <w:adjustRightInd w:val="0"/>
              <w:snapToGrid w:val="0"/>
              <w:ind w:left="-54" w:leftChars="-26" w:right="-46" w:rightChars="-22"/>
              <w:jc w:val="left"/>
              <w:rPr>
                <w:rFonts w:ascii="仿宋_GB2312" w:hAnsi="仿宋_GB2312" w:eastAsia="仿宋_GB2312" w:cs="仿宋_GB2312"/>
                <w:szCs w:val="21"/>
              </w:rPr>
            </w:pPr>
            <w:r>
              <w:rPr>
                <w:rFonts w:hint="eastAsia" w:ascii="仿宋_GB2312" w:hAnsi="仿宋_GB2312" w:eastAsia="仿宋_GB2312" w:cs="仿宋_GB2312"/>
                <w:szCs w:val="21"/>
              </w:rPr>
              <w:t>大写：</w:t>
            </w:r>
          </w:p>
        </w:tc>
        <w:tc>
          <w:tcPr>
            <w:tcW w:w="1309" w:type="dxa"/>
            <w:vAlign w:val="center"/>
          </w:tcPr>
          <w:p>
            <w:pPr>
              <w:adjustRightInd w:val="0"/>
              <w:snapToGrid w:val="0"/>
              <w:ind w:left="-54" w:leftChars="-26" w:right="-46" w:rightChars="-22"/>
              <w:jc w:val="center"/>
              <w:rPr>
                <w:rFonts w:ascii="仿宋_GB2312" w:hAnsi="仿宋_GB2312" w:eastAsia="仿宋_GB2312" w:cs="仿宋_GB2312"/>
                <w:szCs w:val="21"/>
              </w:rPr>
            </w:pPr>
          </w:p>
        </w:tc>
        <w:tc>
          <w:tcPr>
            <w:tcW w:w="1109" w:type="dxa"/>
            <w:vAlign w:val="center"/>
          </w:tcPr>
          <w:p>
            <w:pPr>
              <w:adjustRightInd w:val="0"/>
              <w:snapToGrid w:val="0"/>
              <w:ind w:left="-54" w:leftChars="-26" w:right="-46" w:rightChars="-22"/>
              <w:jc w:val="center"/>
              <w:rPr>
                <w:rFonts w:ascii="仿宋_GB2312" w:hAnsi="仿宋_GB2312" w:eastAsia="仿宋_GB2312" w:cs="仿宋_GB2312"/>
                <w:szCs w:val="21"/>
              </w:rPr>
            </w:pPr>
          </w:p>
        </w:tc>
        <w:tc>
          <w:tcPr>
            <w:tcW w:w="1252" w:type="dxa"/>
            <w:vAlign w:val="center"/>
          </w:tcPr>
          <w:p>
            <w:pPr>
              <w:adjustRightInd w:val="0"/>
              <w:snapToGrid w:val="0"/>
              <w:ind w:left="-54" w:leftChars="-26" w:right="-46" w:rightChars="-22"/>
              <w:jc w:val="center"/>
              <w:rPr>
                <w:rFonts w:ascii="仿宋_GB2312" w:hAnsi="仿宋_GB2312" w:eastAsia="仿宋_GB2312" w:cs="仿宋_GB2312"/>
                <w:szCs w:val="21"/>
              </w:rPr>
            </w:pPr>
          </w:p>
        </w:tc>
        <w:tc>
          <w:tcPr>
            <w:tcW w:w="951" w:type="dxa"/>
            <w:vAlign w:val="center"/>
          </w:tcPr>
          <w:p>
            <w:pPr>
              <w:adjustRightInd w:val="0"/>
              <w:snapToGrid w:val="0"/>
              <w:ind w:left="-54" w:leftChars="-26" w:right="-46" w:rightChars="-22"/>
              <w:jc w:val="center"/>
              <w:rPr>
                <w:rFonts w:ascii="仿宋_GB2312" w:hAnsi="仿宋_GB2312" w:eastAsia="仿宋_GB2312" w:cs="仿宋_GB2312"/>
                <w:szCs w:val="21"/>
              </w:rPr>
            </w:pPr>
          </w:p>
        </w:tc>
      </w:tr>
    </w:tbl>
    <w:p>
      <w:pPr>
        <w:adjustRightInd w:val="0"/>
        <w:snapToGrid w:val="0"/>
        <w:spacing w:line="360" w:lineRule="auto"/>
        <w:ind w:right="105" w:rightChars="50" w:firstLine="420" w:firstLineChars="200"/>
        <w:jc w:val="left"/>
        <w:rPr>
          <w:rFonts w:ascii="仿宋_GB2312" w:hAnsi="仿宋_GB2312" w:eastAsia="仿宋_GB2312" w:cs="仿宋_GB2312"/>
          <w:szCs w:val="21"/>
        </w:rPr>
      </w:pPr>
    </w:p>
    <w:p>
      <w:pPr>
        <w:adjustRightInd w:val="0"/>
        <w:snapToGrid w:val="0"/>
        <w:spacing w:line="360" w:lineRule="auto"/>
        <w:ind w:right="105" w:rightChars="50"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注：此表中，投标总价应和服务价格明细表的总价相一致。</w:t>
      </w: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adjustRightInd w:val="0"/>
        <w:snapToGrid w:val="0"/>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w:t>
      </w:r>
      <w:r>
        <w:rPr>
          <w:rFonts w:hint="eastAsia" w:ascii="仿宋_GB2312" w:hAnsi="仿宋_GB2312" w:eastAsia="仿宋_GB2312" w:cs="仿宋_GB2312"/>
          <w:szCs w:val="21"/>
        </w:rPr>
        <w:t>授权委托人</w:t>
      </w:r>
      <w:r>
        <w:rPr>
          <w:rFonts w:hint="eastAsia" w:ascii="仿宋_GB2312" w:hAnsi="仿宋_GB2312" w:eastAsia="仿宋_GB2312" w:cs="仿宋_GB2312"/>
        </w:rPr>
        <w:t>(签字或盖章)：</w:t>
      </w:r>
      <w:r>
        <w:rPr>
          <w:rFonts w:hint="eastAsia" w:ascii="仿宋_GB2312" w:hAnsi="仿宋_GB2312" w:eastAsia="仿宋_GB2312" w:cs="仿宋_GB2312"/>
          <w:u w:val="single"/>
        </w:rPr>
        <w:t xml:space="preserve">           </w:t>
      </w:r>
    </w:p>
    <w:p>
      <w:pPr>
        <w:adjustRightInd w:val="0"/>
        <w:snapToGrid w:val="0"/>
        <w:spacing w:line="480" w:lineRule="auto"/>
        <w:ind w:right="1050" w:rightChars="500"/>
        <w:rPr>
          <w:rFonts w:ascii="仿宋_GB2312" w:hAnsi="仿宋_GB2312" w:eastAsia="仿宋_GB2312" w:cs="仿宋_GB2312"/>
          <w:szCs w:val="21"/>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r>
        <w:rPr>
          <w:rFonts w:hint="eastAsia" w:ascii="仿宋_GB2312" w:hAnsi="仿宋_GB2312" w:eastAsia="仿宋_GB2312" w:cs="仿宋_GB2312"/>
          <w:szCs w:val="21"/>
        </w:rPr>
        <w:t xml:space="preserve"> </w:t>
      </w:r>
    </w:p>
    <w:p>
      <w:pPr>
        <w:adjustRightInd w:val="0"/>
        <w:snapToGrid w:val="0"/>
        <w:spacing w:line="480" w:lineRule="auto"/>
        <w:ind w:right="1050" w:rightChars="500"/>
        <w:rPr>
          <w:rFonts w:ascii="仿宋_GB2312" w:hAnsi="仿宋_GB2312" w:eastAsia="仿宋_GB2312" w:cs="仿宋_GB2312"/>
          <w:szCs w:val="21"/>
        </w:rPr>
      </w:pPr>
    </w:p>
    <w:p>
      <w:pPr>
        <w:adjustRightInd w:val="0"/>
        <w:snapToGrid w:val="0"/>
        <w:spacing w:line="360" w:lineRule="auto"/>
        <w:ind w:right="105" w:rightChars="50"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格式12</w:t>
      </w:r>
    </w:p>
    <w:p>
      <w:pPr>
        <w:adjustRightInd w:val="0"/>
        <w:snapToGrid w:val="0"/>
        <w:spacing w:before="319" w:beforeLines="100" w:after="319" w:afterLines="100" w:line="360" w:lineRule="auto"/>
        <w:ind w:right="105" w:rightChars="5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服务价格明细表</w:t>
      </w:r>
    </w:p>
    <w:p>
      <w:pPr>
        <w:adjustRightInd w:val="0"/>
        <w:snapToGrid w:val="0"/>
        <w:spacing w:line="360" w:lineRule="auto"/>
        <w:ind w:right="105" w:rightChars="50"/>
        <w:jc w:val="left"/>
        <w:rPr>
          <w:rFonts w:ascii="仿宋_GB2312" w:hAnsi="仿宋_GB2312" w:eastAsia="仿宋_GB2312" w:cs="仿宋_GB2312"/>
          <w:b/>
          <w:bCs/>
          <w:szCs w:val="21"/>
        </w:rPr>
      </w:pPr>
      <w:r>
        <w:rPr>
          <w:rFonts w:hint="eastAsia" w:ascii="仿宋_GB2312" w:hAnsi="仿宋_GB2312" w:eastAsia="仿宋_GB2312" w:cs="仿宋_GB2312"/>
          <w:b/>
          <w:bCs/>
          <w:szCs w:val="21"/>
        </w:rPr>
        <w:t>包号：0</w:t>
      </w:r>
      <w:r>
        <w:rPr>
          <w:rFonts w:ascii="仿宋_GB2312" w:hAnsi="仿宋_GB2312" w:eastAsia="仿宋_GB2312" w:cs="仿宋_GB2312"/>
          <w:b/>
          <w:bCs/>
          <w:szCs w:val="21"/>
        </w:rPr>
        <w:t>01</w:t>
      </w:r>
      <w:r>
        <w:rPr>
          <w:rFonts w:hint="eastAsia" w:ascii="仿宋_GB2312" w:hAnsi="仿宋_GB2312" w:eastAsia="仿宋_GB2312" w:cs="仿宋_GB2312"/>
          <w:b/>
          <w:bCs/>
          <w:szCs w:val="21"/>
        </w:rPr>
        <w:t xml:space="preserve">                                               </w:t>
      </w:r>
      <w:r>
        <w:rPr>
          <w:rFonts w:ascii="仿宋_GB2312" w:hAnsi="仿宋_GB2312" w:eastAsia="仿宋_GB2312" w:cs="仿宋_GB2312"/>
          <w:b/>
          <w:bCs/>
          <w:szCs w:val="21"/>
        </w:rPr>
        <w:t xml:space="preserve">    </w:t>
      </w:r>
      <w:r>
        <w:rPr>
          <w:rFonts w:hint="eastAsia" w:ascii="仿宋_GB2312" w:hAnsi="仿宋_GB2312" w:eastAsia="仿宋_GB2312" w:cs="仿宋_GB2312"/>
          <w:b/>
          <w:bCs/>
          <w:szCs w:val="21"/>
        </w:rPr>
        <w:t xml:space="preserve"> 报价单位（元）：</w:t>
      </w:r>
    </w:p>
    <w:tbl>
      <w:tblPr>
        <w:tblStyle w:val="12"/>
        <w:tblW w:w="8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3078"/>
        <w:gridCol w:w="1228"/>
        <w:gridCol w:w="1238"/>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vAlign w:val="center"/>
          </w:tcPr>
          <w:p>
            <w:pPr>
              <w:adjustRightInd w:val="0"/>
              <w:snapToGrid w:val="0"/>
              <w:ind w:left="-65" w:leftChars="-31" w:right="-46" w:rightChars="-22"/>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3078" w:type="dxa"/>
            <w:vAlign w:val="center"/>
          </w:tcPr>
          <w:p>
            <w:pPr>
              <w:adjustRightInd w:val="0"/>
              <w:snapToGrid w:val="0"/>
              <w:ind w:left="-65" w:leftChars="-31" w:right="-46" w:rightChars="-22"/>
              <w:jc w:val="center"/>
              <w:rPr>
                <w:rFonts w:ascii="仿宋_GB2312" w:hAnsi="仿宋_GB2312" w:eastAsia="仿宋_GB2312" w:cs="仿宋_GB2312"/>
                <w:szCs w:val="21"/>
              </w:rPr>
            </w:pPr>
            <w:r>
              <w:rPr>
                <w:rFonts w:hint="eastAsia" w:ascii="仿宋_GB2312" w:hAnsi="仿宋_GB2312" w:eastAsia="仿宋_GB2312" w:cs="仿宋_GB2312"/>
                <w:szCs w:val="21"/>
              </w:rPr>
              <w:t>服务名称</w:t>
            </w:r>
          </w:p>
        </w:tc>
        <w:tc>
          <w:tcPr>
            <w:tcW w:w="1228" w:type="dxa"/>
            <w:vAlign w:val="center"/>
          </w:tcPr>
          <w:p>
            <w:pPr>
              <w:adjustRightInd w:val="0"/>
              <w:snapToGrid w:val="0"/>
              <w:ind w:left="-65" w:leftChars="-31" w:right="-46" w:rightChars="-22"/>
              <w:jc w:val="center"/>
              <w:rPr>
                <w:rFonts w:ascii="仿宋_GB2312" w:hAnsi="仿宋_GB2312" w:eastAsia="仿宋_GB2312" w:cs="仿宋_GB2312"/>
                <w:szCs w:val="21"/>
              </w:rPr>
            </w:pPr>
            <w:r>
              <w:rPr>
                <w:rFonts w:hint="eastAsia" w:ascii="仿宋_GB2312" w:hAnsi="仿宋_GB2312" w:eastAsia="仿宋_GB2312" w:cs="仿宋_GB2312"/>
                <w:szCs w:val="21"/>
              </w:rPr>
              <w:t>单价</w:t>
            </w:r>
          </w:p>
        </w:tc>
        <w:tc>
          <w:tcPr>
            <w:tcW w:w="1238" w:type="dxa"/>
            <w:vAlign w:val="center"/>
          </w:tcPr>
          <w:p>
            <w:pPr>
              <w:adjustRightInd w:val="0"/>
              <w:snapToGrid w:val="0"/>
              <w:ind w:left="-65" w:leftChars="-31" w:right="-46" w:rightChars="-22"/>
              <w:jc w:val="center"/>
              <w:rPr>
                <w:rFonts w:ascii="仿宋_GB2312" w:hAnsi="仿宋_GB2312" w:eastAsia="仿宋_GB2312" w:cs="仿宋_GB2312"/>
                <w:szCs w:val="21"/>
              </w:rPr>
            </w:pPr>
            <w:r>
              <w:rPr>
                <w:rFonts w:hint="eastAsia" w:ascii="仿宋_GB2312" w:hAnsi="仿宋_GB2312" w:eastAsia="仿宋_GB2312" w:cs="仿宋_GB2312"/>
                <w:szCs w:val="21"/>
              </w:rPr>
              <w:t>总价</w:t>
            </w:r>
          </w:p>
        </w:tc>
        <w:tc>
          <w:tcPr>
            <w:tcW w:w="1457" w:type="dxa"/>
            <w:vAlign w:val="center"/>
          </w:tcPr>
          <w:p>
            <w:pPr>
              <w:adjustRightInd w:val="0"/>
              <w:snapToGrid w:val="0"/>
              <w:ind w:left="-65" w:leftChars="-31" w:right="-46" w:rightChars="-22"/>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vAlign w:val="center"/>
          </w:tcPr>
          <w:p>
            <w:pPr>
              <w:adjustRightInd w:val="0"/>
              <w:snapToGrid w:val="0"/>
              <w:ind w:right="105" w:rightChars="50"/>
              <w:jc w:val="center"/>
              <w:rPr>
                <w:rFonts w:ascii="仿宋_GB2312" w:hAnsi="仿宋_GB2312" w:eastAsia="仿宋_GB2312" w:cs="仿宋_GB2312"/>
                <w:szCs w:val="21"/>
              </w:rPr>
            </w:pPr>
          </w:p>
        </w:tc>
        <w:tc>
          <w:tcPr>
            <w:tcW w:w="3078" w:type="dxa"/>
            <w:vAlign w:val="center"/>
          </w:tcPr>
          <w:p>
            <w:pPr>
              <w:adjustRightInd w:val="0"/>
              <w:snapToGrid w:val="0"/>
              <w:ind w:right="105" w:rightChars="50"/>
              <w:jc w:val="center"/>
              <w:rPr>
                <w:rFonts w:ascii="仿宋_GB2312" w:hAnsi="仿宋_GB2312" w:eastAsia="仿宋_GB2312" w:cs="仿宋_GB2312"/>
                <w:szCs w:val="21"/>
              </w:rPr>
            </w:pPr>
          </w:p>
        </w:tc>
        <w:tc>
          <w:tcPr>
            <w:tcW w:w="1228" w:type="dxa"/>
            <w:vAlign w:val="center"/>
          </w:tcPr>
          <w:p>
            <w:pPr>
              <w:adjustRightInd w:val="0"/>
              <w:snapToGrid w:val="0"/>
              <w:ind w:right="105" w:rightChars="50"/>
              <w:jc w:val="center"/>
              <w:rPr>
                <w:rFonts w:ascii="仿宋_GB2312" w:hAnsi="仿宋_GB2312" w:eastAsia="仿宋_GB2312" w:cs="仿宋_GB2312"/>
                <w:szCs w:val="21"/>
              </w:rPr>
            </w:pPr>
          </w:p>
        </w:tc>
        <w:tc>
          <w:tcPr>
            <w:tcW w:w="1238" w:type="dxa"/>
            <w:vAlign w:val="center"/>
          </w:tcPr>
          <w:p>
            <w:pPr>
              <w:adjustRightInd w:val="0"/>
              <w:snapToGrid w:val="0"/>
              <w:ind w:right="105" w:rightChars="50"/>
              <w:jc w:val="center"/>
              <w:rPr>
                <w:rFonts w:ascii="仿宋_GB2312" w:hAnsi="仿宋_GB2312" w:eastAsia="仿宋_GB2312" w:cs="仿宋_GB2312"/>
                <w:szCs w:val="21"/>
              </w:rPr>
            </w:pPr>
          </w:p>
        </w:tc>
        <w:tc>
          <w:tcPr>
            <w:tcW w:w="1457" w:type="dxa"/>
            <w:vAlign w:val="center"/>
          </w:tcPr>
          <w:p>
            <w:pPr>
              <w:adjustRightInd w:val="0"/>
              <w:snapToGrid w:val="0"/>
              <w:ind w:right="105" w:rightChars="5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vAlign w:val="center"/>
          </w:tcPr>
          <w:p>
            <w:pPr>
              <w:adjustRightInd w:val="0"/>
              <w:snapToGrid w:val="0"/>
              <w:ind w:right="105" w:rightChars="50"/>
              <w:jc w:val="center"/>
              <w:rPr>
                <w:rFonts w:ascii="仿宋_GB2312" w:hAnsi="仿宋_GB2312" w:eastAsia="仿宋_GB2312" w:cs="仿宋_GB2312"/>
                <w:szCs w:val="21"/>
              </w:rPr>
            </w:pPr>
          </w:p>
        </w:tc>
        <w:tc>
          <w:tcPr>
            <w:tcW w:w="3078" w:type="dxa"/>
            <w:vAlign w:val="center"/>
          </w:tcPr>
          <w:p>
            <w:pPr>
              <w:adjustRightInd w:val="0"/>
              <w:snapToGrid w:val="0"/>
              <w:ind w:right="105" w:rightChars="50"/>
              <w:jc w:val="center"/>
              <w:rPr>
                <w:rFonts w:ascii="仿宋_GB2312" w:hAnsi="仿宋_GB2312" w:eastAsia="仿宋_GB2312" w:cs="仿宋_GB2312"/>
                <w:szCs w:val="21"/>
              </w:rPr>
            </w:pPr>
          </w:p>
        </w:tc>
        <w:tc>
          <w:tcPr>
            <w:tcW w:w="1228" w:type="dxa"/>
            <w:vAlign w:val="center"/>
          </w:tcPr>
          <w:p>
            <w:pPr>
              <w:adjustRightInd w:val="0"/>
              <w:snapToGrid w:val="0"/>
              <w:ind w:right="105" w:rightChars="50"/>
              <w:jc w:val="center"/>
              <w:rPr>
                <w:rFonts w:ascii="仿宋_GB2312" w:hAnsi="仿宋_GB2312" w:eastAsia="仿宋_GB2312" w:cs="仿宋_GB2312"/>
                <w:szCs w:val="21"/>
              </w:rPr>
            </w:pPr>
          </w:p>
        </w:tc>
        <w:tc>
          <w:tcPr>
            <w:tcW w:w="1238" w:type="dxa"/>
            <w:vAlign w:val="center"/>
          </w:tcPr>
          <w:p>
            <w:pPr>
              <w:adjustRightInd w:val="0"/>
              <w:snapToGrid w:val="0"/>
              <w:ind w:right="105" w:rightChars="50"/>
              <w:jc w:val="center"/>
              <w:rPr>
                <w:rFonts w:ascii="仿宋_GB2312" w:hAnsi="仿宋_GB2312" w:eastAsia="仿宋_GB2312" w:cs="仿宋_GB2312"/>
                <w:szCs w:val="21"/>
              </w:rPr>
            </w:pPr>
          </w:p>
        </w:tc>
        <w:tc>
          <w:tcPr>
            <w:tcW w:w="1457" w:type="dxa"/>
            <w:vAlign w:val="center"/>
          </w:tcPr>
          <w:p>
            <w:pPr>
              <w:adjustRightInd w:val="0"/>
              <w:snapToGrid w:val="0"/>
              <w:ind w:right="105" w:rightChars="5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vAlign w:val="center"/>
          </w:tcPr>
          <w:p>
            <w:pPr>
              <w:adjustRightInd w:val="0"/>
              <w:snapToGrid w:val="0"/>
              <w:ind w:right="105" w:rightChars="50"/>
              <w:jc w:val="center"/>
              <w:rPr>
                <w:rFonts w:ascii="仿宋_GB2312" w:hAnsi="仿宋_GB2312" w:eastAsia="仿宋_GB2312" w:cs="仿宋_GB2312"/>
                <w:szCs w:val="21"/>
              </w:rPr>
            </w:pPr>
          </w:p>
        </w:tc>
        <w:tc>
          <w:tcPr>
            <w:tcW w:w="3078" w:type="dxa"/>
            <w:vAlign w:val="center"/>
          </w:tcPr>
          <w:p>
            <w:pPr>
              <w:adjustRightInd w:val="0"/>
              <w:snapToGrid w:val="0"/>
              <w:ind w:right="105" w:rightChars="50"/>
              <w:jc w:val="center"/>
              <w:rPr>
                <w:rFonts w:ascii="仿宋_GB2312" w:hAnsi="仿宋_GB2312" w:eastAsia="仿宋_GB2312" w:cs="仿宋_GB2312"/>
                <w:szCs w:val="21"/>
              </w:rPr>
            </w:pPr>
          </w:p>
        </w:tc>
        <w:tc>
          <w:tcPr>
            <w:tcW w:w="1228" w:type="dxa"/>
            <w:vAlign w:val="center"/>
          </w:tcPr>
          <w:p>
            <w:pPr>
              <w:adjustRightInd w:val="0"/>
              <w:snapToGrid w:val="0"/>
              <w:ind w:right="105" w:rightChars="50"/>
              <w:jc w:val="center"/>
              <w:rPr>
                <w:rFonts w:ascii="仿宋_GB2312" w:hAnsi="仿宋_GB2312" w:eastAsia="仿宋_GB2312" w:cs="仿宋_GB2312"/>
                <w:szCs w:val="21"/>
              </w:rPr>
            </w:pPr>
          </w:p>
        </w:tc>
        <w:tc>
          <w:tcPr>
            <w:tcW w:w="1238" w:type="dxa"/>
            <w:vAlign w:val="center"/>
          </w:tcPr>
          <w:p>
            <w:pPr>
              <w:adjustRightInd w:val="0"/>
              <w:snapToGrid w:val="0"/>
              <w:ind w:right="105" w:rightChars="50"/>
              <w:jc w:val="center"/>
              <w:rPr>
                <w:rFonts w:ascii="仿宋_GB2312" w:hAnsi="仿宋_GB2312" w:eastAsia="仿宋_GB2312" w:cs="仿宋_GB2312"/>
                <w:szCs w:val="21"/>
              </w:rPr>
            </w:pPr>
          </w:p>
        </w:tc>
        <w:tc>
          <w:tcPr>
            <w:tcW w:w="1457" w:type="dxa"/>
            <w:vAlign w:val="center"/>
          </w:tcPr>
          <w:p>
            <w:pPr>
              <w:adjustRightInd w:val="0"/>
              <w:snapToGrid w:val="0"/>
              <w:ind w:right="105" w:rightChars="5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vAlign w:val="center"/>
          </w:tcPr>
          <w:p>
            <w:pPr>
              <w:adjustRightInd w:val="0"/>
              <w:snapToGrid w:val="0"/>
              <w:ind w:right="105" w:rightChars="50"/>
              <w:jc w:val="center"/>
              <w:rPr>
                <w:rFonts w:ascii="仿宋_GB2312" w:hAnsi="仿宋_GB2312" w:eastAsia="仿宋_GB2312" w:cs="仿宋_GB2312"/>
                <w:szCs w:val="21"/>
              </w:rPr>
            </w:pPr>
          </w:p>
        </w:tc>
        <w:tc>
          <w:tcPr>
            <w:tcW w:w="3078" w:type="dxa"/>
            <w:vAlign w:val="center"/>
          </w:tcPr>
          <w:p>
            <w:pPr>
              <w:adjustRightInd w:val="0"/>
              <w:snapToGrid w:val="0"/>
              <w:ind w:right="105" w:rightChars="50"/>
              <w:jc w:val="center"/>
              <w:rPr>
                <w:rFonts w:ascii="仿宋_GB2312" w:hAnsi="仿宋_GB2312" w:eastAsia="仿宋_GB2312" w:cs="仿宋_GB2312"/>
                <w:szCs w:val="21"/>
              </w:rPr>
            </w:pPr>
          </w:p>
        </w:tc>
        <w:tc>
          <w:tcPr>
            <w:tcW w:w="1228" w:type="dxa"/>
            <w:vAlign w:val="center"/>
          </w:tcPr>
          <w:p>
            <w:pPr>
              <w:adjustRightInd w:val="0"/>
              <w:snapToGrid w:val="0"/>
              <w:ind w:right="105" w:rightChars="50"/>
              <w:jc w:val="center"/>
              <w:rPr>
                <w:rFonts w:ascii="仿宋_GB2312" w:hAnsi="仿宋_GB2312" w:eastAsia="仿宋_GB2312" w:cs="仿宋_GB2312"/>
                <w:szCs w:val="21"/>
              </w:rPr>
            </w:pPr>
          </w:p>
        </w:tc>
        <w:tc>
          <w:tcPr>
            <w:tcW w:w="1238" w:type="dxa"/>
            <w:vAlign w:val="center"/>
          </w:tcPr>
          <w:p>
            <w:pPr>
              <w:adjustRightInd w:val="0"/>
              <w:snapToGrid w:val="0"/>
              <w:ind w:right="105" w:rightChars="50"/>
              <w:jc w:val="center"/>
              <w:rPr>
                <w:rFonts w:ascii="仿宋_GB2312" w:hAnsi="仿宋_GB2312" w:eastAsia="仿宋_GB2312" w:cs="仿宋_GB2312"/>
                <w:szCs w:val="21"/>
              </w:rPr>
            </w:pPr>
          </w:p>
        </w:tc>
        <w:tc>
          <w:tcPr>
            <w:tcW w:w="1457" w:type="dxa"/>
            <w:vAlign w:val="center"/>
          </w:tcPr>
          <w:p>
            <w:pPr>
              <w:adjustRightInd w:val="0"/>
              <w:snapToGrid w:val="0"/>
              <w:ind w:right="105" w:rightChars="5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vAlign w:val="center"/>
          </w:tcPr>
          <w:p>
            <w:pPr>
              <w:adjustRightInd w:val="0"/>
              <w:snapToGrid w:val="0"/>
              <w:ind w:right="105" w:rightChars="50"/>
              <w:jc w:val="center"/>
              <w:rPr>
                <w:rFonts w:ascii="仿宋_GB2312" w:hAnsi="仿宋_GB2312" w:eastAsia="仿宋_GB2312" w:cs="仿宋_GB2312"/>
                <w:szCs w:val="21"/>
              </w:rPr>
            </w:pPr>
          </w:p>
        </w:tc>
        <w:tc>
          <w:tcPr>
            <w:tcW w:w="3078" w:type="dxa"/>
            <w:vAlign w:val="center"/>
          </w:tcPr>
          <w:p>
            <w:pPr>
              <w:adjustRightInd w:val="0"/>
              <w:snapToGrid w:val="0"/>
              <w:ind w:right="105" w:rightChars="50"/>
              <w:jc w:val="center"/>
              <w:rPr>
                <w:rFonts w:ascii="仿宋_GB2312" w:hAnsi="仿宋_GB2312" w:eastAsia="仿宋_GB2312" w:cs="仿宋_GB2312"/>
                <w:szCs w:val="21"/>
              </w:rPr>
            </w:pPr>
          </w:p>
        </w:tc>
        <w:tc>
          <w:tcPr>
            <w:tcW w:w="1228" w:type="dxa"/>
            <w:vAlign w:val="center"/>
          </w:tcPr>
          <w:p>
            <w:pPr>
              <w:adjustRightInd w:val="0"/>
              <w:snapToGrid w:val="0"/>
              <w:ind w:right="105" w:rightChars="50"/>
              <w:jc w:val="center"/>
              <w:rPr>
                <w:rFonts w:ascii="仿宋_GB2312" w:hAnsi="仿宋_GB2312" w:eastAsia="仿宋_GB2312" w:cs="仿宋_GB2312"/>
                <w:szCs w:val="21"/>
              </w:rPr>
            </w:pPr>
          </w:p>
        </w:tc>
        <w:tc>
          <w:tcPr>
            <w:tcW w:w="1238" w:type="dxa"/>
            <w:vAlign w:val="center"/>
          </w:tcPr>
          <w:p>
            <w:pPr>
              <w:adjustRightInd w:val="0"/>
              <w:snapToGrid w:val="0"/>
              <w:ind w:right="105" w:rightChars="50"/>
              <w:jc w:val="center"/>
              <w:rPr>
                <w:rFonts w:ascii="仿宋_GB2312" w:hAnsi="仿宋_GB2312" w:eastAsia="仿宋_GB2312" w:cs="仿宋_GB2312"/>
                <w:szCs w:val="21"/>
              </w:rPr>
            </w:pPr>
          </w:p>
        </w:tc>
        <w:tc>
          <w:tcPr>
            <w:tcW w:w="1457" w:type="dxa"/>
            <w:vAlign w:val="center"/>
          </w:tcPr>
          <w:p>
            <w:pPr>
              <w:adjustRightInd w:val="0"/>
              <w:snapToGrid w:val="0"/>
              <w:ind w:right="105" w:rightChars="5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vAlign w:val="center"/>
          </w:tcPr>
          <w:p>
            <w:pPr>
              <w:adjustRightInd w:val="0"/>
              <w:snapToGrid w:val="0"/>
              <w:ind w:right="105" w:rightChars="50"/>
              <w:jc w:val="center"/>
              <w:rPr>
                <w:rFonts w:ascii="仿宋_GB2312" w:hAnsi="仿宋_GB2312" w:eastAsia="仿宋_GB2312" w:cs="仿宋_GB2312"/>
                <w:szCs w:val="21"/>
              </w:rPr>
            </w:pPr>
          </w:p>
        </w:tc>
        <w:tc>
          <w:tcPr>
            <w:tcW w:w="3078" w:type="dxa"/>
            <w:vAlign w:val="center"/>
          </w:tcPr>
          <w:p>
            <w:pPr>
              <w:adjustRightInd w:val="0"/>
              <w:snapToGrid w:val="0"/>
              <w:ind w:right="105" w:rightChars="50"/>
              <w:jc w:val="center"/>
              <w:rPr>
                <w:rFonts w:ascii="仿宋_GB2312" w:hAnsi="仿宋_GB2312" w:eastAsia="仿宋_GB2312" w:cs="仿宋_GB2312"/>
                <w:szCs w:val="21"/>
              </w:rPr>
            </w:pPr>
          </w:p>
        </w:tc>
        <w:tc>
          <w:tcPr>
            <w:tcW w:w="1228" w:type="dxa"/>
            <w:vAlign w:val="center"/>
          </w:tcPr>
          <w:p>
            <w:pPr>
              <w:adjustRightInd w:val="0"/>
              <w:snapToGrid w:val="0"/>
              <w:ind w:right="105" w:rightChars="50"/>
              <w:jc w:val="center"/>
              <w:rPr>
                <w:rFonts w:ascii="仿宋_GB2312" w:hAnsi="仿宋_GB2312" w:eastAsia="仿宋_GB2312" w:cs="仿宋_GB2312"/>
                <w:szCs w:val="21"/>
              </w:rPr>
            </w:pPr>
          </w:p>
        </w:tc>
        <w:tc>
          <w:tcPr>
            <w:tcW w:w="1238" w:type="dxa"/>
            <w:vAlign w:val="center"/>
          </w:tcPr>
          <w:p>
            <w:pPr>
              <w:adjustRightInd w:val="0"/>
              <w:snapToGrid w:val="0"/>
              <w:ind w:right="105" w:rightChars="50"/>
              <w:jc w:val="center"/>
              <w:rPr>
                <w:rFonts w:ascii="仿宋_GB2312" w:hAnsi="仿宋_GB2312" w:eastAsia="仿宋_GB2312" w:cs="仿宋_GB2312"/>
                <w:szCs w:val="21"/>
              </w:rPr>
            </w:pPr>
          </w:p>
        </w:tc>
        <w:tc>
          <w:tcPr>
            <w:tcW w:w="1457" w:type="dxa"/>
            <w:vAlign w:val="center"/>
          </w:tcPr>
          <w:p>
            <w:pPr>
              <w:adjustRightInd w:val="0"/>
              <w:snapToGrid w:val="0"/>
              <w:ind w:right="105" w:rightChars="5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vAlign w:val="center"/>
          </w:tcPr>
          <w:p>
            <w:pPr>
              <w:adjustRightInd w:val="0"/>
              <w:snapToGrid w:val="0"/>
              <w:ind w:right="105" w:rightChars="50"/>
              <w:jc w:val="center"/>
              <w:rPr>
                <w:rFonts w:ascii="仿宋_GB2312" w:hAnsi="仿宋_GB2312" w:eastAsia="仿宋_GB2312" w:cs="仿宋_GB2312"/>
                <w:szCs w:val="21"/>
              </w:rPr>
            </w:pPr>
          </w:p>
        </w:tc>
        <w:tc>
          <w:tcPr>
            <w:tcW w:w="3078" w:type="dxa"/>
            <w:vAlign w:val="center"/>
          </w:tcPr>
          <w:p>
            <w:pPr>
              <w:adjustRightInd w:val="0"/>
              <w:snapToGrid w:val="0"/>
              <w:ind w:right="105" w:rightChars="50"/>
              <w:jc w:val="center"/>
              <w:rPr>
                <w:rFonts w:ascii="仿宋_GB2312" w:hAnsi="仿宋_GB2312" w:eastAsia="仿宋_GB2312" w:cs="仿宋_GB2312"/>
                <w:szCs w:val="21"/>
              </w:rPr>
            </w:pPr>
          </w:p>
        </w:tc>
        <w:tc>
          <w:tcPr>
            <w:tcW w:w="1228" w:type="dxa"/>
            <w:vAlign w:val="center"/>
          </w:tcPr>
          <w:p>
            <w:pPr>
              <w:adjustRightInd w:val="0"/>
              <w:snapToGrid w:val="0"/>
              <w:ind w:right="105" w:rightChars="50"/>
              <w:jc w:val="center"/>
              <w:rPr>
                <w:rFonts w:ascii="仿宋_GB2312" w:hAnsi="仿宋_GB2312" w:eastAsia="仿宋_GB2312" w:cs="仿宋_GB2312"/>
                <w:szCs w:val="21"/>
              </w:rPr>
            </w:pPr>
          </w:p>
        </w:tc>
        <w:tc>
          <w:tcPr>
            <w:tcW w:w="1238" w:type="dxa"/>
            <w:vAlign w:val="center"/>
          </w:tcPr>
          <w:p>
            <w:pPr>
              <w:adjustRightInd w:val="0"/>
              <w:snapToGrid w:val="0"/>
              <w:ind w:right="105" w:rightChars="50"/>
              <w:jc w:val="center"/>
              <w:rPr>
                <w:rFonts w:ascii="仿宋_GB2312" w:hAnsi="仿宋_GB2312" w:eastAsia="仿宋_GB2312" w:cs="仿宋_GB2312"/>
                <w:szCs w:val="21"/>
              </w:rPr>
            </w:pPr>
          </w:p>
        </w:tc>
        <w:tc>
          <w:tcPr>
            <w:tcW w:w="1457" w:type="dxa"/>
            <w:vAlign w:val="center"/>
          </w:tcPr>
          <w:p>
            <w:pPr>
              <w:adjustRightInd w:val="0"/>
              <w:snapToGrid w:val="0"/>
              <w:ind w:right="105" w:rightChars="5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089" w:type="dxa"/>
            <w:gridSpan w:val="2"/>
            <w:vAlign w:val="center"/>
          </w:tcPr>
          <w:p>
            <w:pPr>
              <w:adjustRightInd w:val="0"/>
              <w:snapToGrid w:val="0"/>
              <w:ind w:right="105" w:rightChars="50"/>
              <w:jc w:val="center"/>
              <w:rPr>
                <w:rFonts w:ascii="仿宋_GB2312" w:hAnsi="仿宋_GB2312" w:eastAsia="仿宋_GB2312" w:cs="仿宋_GB2312"/>
                <w:szCs w:val="21"/>
              </w:rPr>
            </w:pPr>
            <w:r>
              <w:rPr>
                <w:rFonts w:hint="eastAsia" w:ascii="仿宋_GB2312" w:hAnsi="仿宋_GB2312" w:eastAsia="仿宋_GB2312" w:cs="仿宋_GB2312"/>
                <w:szCs w:val="21"/>
              </w:rPr>
              <w:t>总价</w:t>
            </w:r>
          </w:p>
        </w:tc>
        <w:tc>
          <w:tcPr>
            <w:tcW w:w="1228" w:type="dxa"/>
            <w:vAlign w:val="center"/>
          </w:tcPr>
          <w:p>
            <w:pPr>
              <w:adjustRightInd w:val="0"/>
              <w:snapToGrid w:val="0"/>
              <w:ind w:right="105" w:rightChars="50"/>
              <w:jc w:val="center"/>
              <w:rPr>
                <w:rFonts w:ascii="仿宋_GB2312" w:hAnsi="仿宋_GB2312" w:eastAsia="仿宋_GB2312" w:cs="仿宋_GB2312"/>
                <w:szCs w:val="21"/>
              </w:rPr>
            </w:pPr>
          </w:p>
        </w:tc>
        <w:tc>
          <w:tcPr>
            <w:tcW w:w="1238" w:type="dxa"/>
            <w:vAlign w:val="center"/>
          </w:tcPr>
          <w:p>
            <w:pPr>
              <w:adjustRightInd w:val="0"/>
              <w:snapToGrid w:val="0"/>
              <w:ind w:right="105" w:rightChars="50"/>
              <w:jc w:val="center"/>
              <w:rPr>
                <w:rFonts w:ascii="仿宋_GB2312" w:hAnsi="仿宋_GB2312" w:eastAsia="仿宋_GB2312" w:cs="仿宋_GB2312"/>
                <w:szCs w:val="21"/>
              </w:rPr>
            </w:pPr>
          </w:p>
        </w:tc>
        <w:tc>
          <w:tcPr>
            <w:tcW w:w="1457" w:type="dxa"/>
            <w:vAlign w:val="center"/>
          </w:tcPr>
          <w:p>
            <w:pPr>
              <w:adjustRightInd w:val="0"/>
              <w:snapToGrid w:val="0"/>
              <w:ind w:right="105" w:rightChars="50"/>
              <w:jc w:val="center"/>
              <w:rPr>
                <w:rFonts w:ascii="仿宋_GB2312" w:hAnsi="仿宋_GB2312" w:eastAsia="仿宋_GB2312" w:cs="仿宋_GB2312"/>
                <w:szCs w:val="21"/>
              </w:rPr>
            </w:pPr>
          </w:p>
        </w:tc>
      </w:tr>
    </w:tbl>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注：1.此表中，总价应和开标一览表的投标总价相一致。</w:t>
      </w:r>
    </w:p>
    <w:p>
      <w:pPr>
        <w:adjustRightInd w:val="0"/>
        <w:snapToGrid w:val="0"/>
        <w:spacing w:line="360" w:lineRule="auto"/>
        <w:ind w:right="105" w:rightChars="50" w:firstLine="840" w:firstLineChars="400"/>
        <w:jc w:val="left"/>
        <w:rPr>
          <w:rFonts w:ascii="仿宋_GB2312" w:hAnsi="仿宋_GB2312" w:eastAsia="仿宋_GB2312" w:cs="仿宋_GB2312"/>
          <w:szCs w:val="21"/>
        </w:rPr>
      </w:pPr>
      <w:r>
        <w:rPr>
          <w:rFonts w:hint="eastAsia" w:ascii="仿宋_GB2312" w:hAnsi="仿宋_GB2312" w:eastAsia="仿宋_GB2312" w:cs="仿宋_GB2312"/>
          <w:szCs w:val="21"/>
        </w:rPr>
        <w:t>2.本表可根据实际情况进行拓展。</w:t>
      </w: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adjustRightInd w:val="0"/>
        <w:snapToGrid w:val="0"/>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其授权委托人(签字或盖章)：</w:t>
      </w:r>
      <w:r>
        <w:rPr>
          <w:rFonts w:hint="eastAsia" w:ascii="仿宋_GB2312" w:hAnsi="仿宋_GB2312" w:eastAsia="仿宋_GB2312" w:cs="仿宋_GB2312"/>
          <w:u w:val="single"/>
        </w:rPr>
        <w:t xml:space="preserve">           </w:t>
      </w:r>
    </w:p>
    <w:p>
      <w:pPr>
        <w:adjustRightInd w:val="0"/>
        <w:snapToGrid w:val="0"/>
        <w:spacing w:line="360" w:lineRule="auto"/>
        <w:ind w:right="1050" w:rightChars="500"/>
        <w:rPr>
          <w:rFonts w:ascii="仿宋_GB2312" w:hAnsi="仿宋_GB2312" w:eastAsia="仿宋_GB2312" w:cs="仿宋_GB2312"/>
          <w:szCs w:val="21"/>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r>
        <w:rPr>
          <w:rFonts w:hint="eastAsia" w:ascii="仿宋_GB2312" w:hAnsi="仿宋_GB2312" w:eastAsia="仿宋_GB2312" w:cs="仿宋_GB2312"/>
          <w:szCs w:val="21"/>
        </w:rPr>
        <w:t xml:space="preserve"> </w:t>
      </w:r>
    </w:p>
    <w:p>
      <w:pPr>
        <w:widowControl/>
        <w:jc w:val="left"/>
        <w:rPr>
          <w:rFonts w:ascii="仿宋_GB2312" w:hAnsi="仿宋_GB2312" w:eastAsia="仿宋_GB2312" w:cs="仿宋_GB2312"/>
          <w:szCs w:val="21"/>
        </w:rPr>
      </w:pPr>
      <w:r>
        <w:rPr>
          <w:rFonts w:ascii="仿宋_GB2312" w:hAnsi="仿宋_GB2312" w:eastAsia="仿宋_GB2312" w:cs="仿宋_GB2312"/>
          <w:szCs w:val="21"/>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格式13</w:t>
      </w:r>
    </w:p>
    <w:p>
      <w:pPr>
        <w:adjustRightInd w:val="0"/>
        <w:snapToGrid w:val="0"/>
        <w:spacing w:before="319" w:beforeLines="100" w:line="360" w:lineRule="auto"/>
        <w:ind w:right="105" w:rightChars="50"/>
        <w:jc w:val="center"/>
        <w:rPr>
          <w:rFonts w:ascii="仿宋_GB2312" w:hAnsi="仿宋_GB2312" w:eastAsia="仿宋_GB2312" w:cs="仿宋_GB2312"/>
          <w:b/>
          <w:bCs/>
          <w:sz w:val="32"/>
          <w:szCs w:val="32"/>
        </w:rPr>
      </w:pPr>
      <w:bookmarkStart w:id="139" w:name="_Toc9235_WPSOffice_Level2"/>
      <w:bookmarkStart w:id="140" w:name="_Toc31555_WPSOffice_Level2"/>
      <w:r>
        <w:rPr>
          <w:rFonts w:hint="eastAsia" w:ascii="仿宋_GB2312" w:hAnsi="仿宋_GB2312" w:eastAsia="仿宋_GB2312" w:cs="仿宋_GB2312"/>
          <w:b/>
          <w:bCs/>
          <w:sz w:val="32"/>
          <w:szCs w:val="32"/>
        </w:rPr>
        <w:t>服务需求响应表</w:t>
      </w:r>
      <w:bookmarkEnd w:id="139"/>
      <w:bookmarkEnd w:id="140"/>
    </w:p>
    <w:tbl>
      <w:tblPr>
        <w:tblStyle w:val="12"/>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3"/>
        <w:gridCol w:w="2452"/>
        <w:gridCol w:w="1118"/>
        <w:gridCol w:w="1166"/>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889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right="105" w:rightChars="50"/>
              <w:jc w:val="left"/>
              <w:rPr>
                <w:rFonts w:ascii="仿宋_GB2312" w:hAnsi="仿宋_GB2312" w:eastAsia="仿宋_GB2312" w:cs="仿宋_GB2312"/>
                <w:szCs w:val="21"/>
              </w:rPr>
            </w:pPr>
            <w:r>
              <w:rPr>
                <w:rFonts w:hint="eastAsia" w:ascii="仿宋_GB2312" w:hAnsi="仿宋_GB2312" w:eastAsia="仿宋_GB2312" w:cs="仿宋_GB2312"/>
                <w:szCs w:val="21"/>
              </w:rPr>
              <w:t>包号/序号：</w:t>
            </w:r>
          </w:p>
          <w:p>
            <w:pPr>
              <w:tabs>
                <w:tab w:val="left" w:pos="0"/>
              </w:tabs>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304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招标文件要求</w:t>
            </w:r>
          </w:p>
          <w:p>
            <w:pPr>
              <w:ind w:hanging="1"/>
              <w:rPr>
                <w:rFonts w:ascii="仿宋_GB2312" w:hAnsi="仿宋_GB2312" w:eastAsia="仿宋_GB2312" w:cs="仿宋_GB2312"/>
                <w:b/>
                <w:szCs w:val="21"/>
              </w:rPr>
            </w:pPr>
            <w:r>
              <w:rPr>
                <w:rFonts w:hint="eastAsia" w:ascii="仿宋_GB2312" w:hAnsi="仿宋_GB2312" w:eastAsia="仿宋_GB2312" w:cs="仿宋_GB2312"/>
                <w:b/>
                <w:sz w:val="18"/>
                <w:szCs w:val="18"/>
              </w:rPr>
              <w:t>重要提示：实质性要求及重要指标用★标注（“★”必须标注在序号前），★标注项不得负偏离，如果负偏离，则投标文件无效。</w:t>
            </w:r>
          </w:p>
        </w:tc>
        <w:tc>
          <w:tcPr>
            <w:tcW w:w="245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投标文件</w:t>
            </w:r>
          </w:p>
          <w:p>
            <w:pPr>
              <w:tabs>
                <w:tab w:val="left" w:pos="0"/>
              </w:tabs>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szCs w:val="21"/>
              </w:rPr>
              <w:t>响应内容</w:t>
            </w:r>
          </w:p>
        </w:tc>
        <w:tc>
          <w:tcPr>
            <w:tcW w:w="1118" w:type="dxa"/>
            <w:tcBorders>
              <w:top w:val="single" w:color="auto" w:sz="4" w:space="0"/>
              <w:left w:val="single" w:color="auto" w:sz="4" w:space="0"/>
              <w:bottom w:val="single" w:color="auto" w:sz="4" w:space="0"/>
              <w:right w:val="single" w:color="auto" w:sz="4" w:space="0"/>
            </w:tcBorders>
            <w:vAlign w:val="center"/>
          </w:tcPr>
          <w:p>
            <w:pPr>
              <w:tabs>
                <w:tab w:val="left" w:pos="-75"/>
              </w:tabs>
              <w:spacing w:line="240" w:lineRule="exact"/>
              <w:ind w:right="-56" w:rightChars="-27"/>
              <w:jc w:val="center"/>
              <w:rPr>
                <w:rFonts w:ascii="仿宋_GB2312" w:hAnsi="仿宋_GB2312" w:eastAsia="仿宋_GB2312" w:cs="仿宋_GB2312"/>
                <w:kern w:val="0"/>
                <w:szCs w:val="21"/>
              </w:rPr>
            </w:pPr>
            <w:r>
              <w:rPr>
                <w:rFonts w:hint="eastAsia" w:ascii="仿宋_GB2312" w:hAnsi="仿宋_GB2312" w:eastAsia="仿宋_GB2312" w:cs="仿宋_GB2312"/>
                <w:szCs w:val="21"/>
              </w:rPr>
              <w:t>偏离程度</w:t>
            </w:r>
          </w:p>
        </w:tc>
        <w:tc>
          <w:tcPr>
            <w:tcW w:w="1166" w:type="dxa"/>
            <w:tcBorders>
              <w:top w:val="single" w:color="auto" w:sz="4" w:space="0"/>
              <w:left w:val="single" w:color="auto" w:sz="4" w:space="0"/>
              <w:bottom w:val="single" w:color="auto" w:sz="4" w:space="0"/>
              <w:right w:val="single" w:color="auto" w:sz="4" w:space="0"/>
            </w:tcBorders>
            <w:vAlign w:val="center"/>
          </w:tcPr>
          <w:p>
            <w:pPr>
              <w:tabs>
                <w:tab w:val="left" w:pos="-75"/>
              </w:tabs>
              <w:spacing w:line="240" w:lineRule="exact"/>
              <w:ind w:right="-56" w:rightChars="-27"/>
              <w:jc w:val="center"/>
              <w:rPr>
                <w:rFonts w:ascii="仿宋_GB2312" w:hAnsi="仿宋_GB2312" w:eastAsia="仿宋_GB2312" w:cs="仿宋_GB2312"/>
                <w:kern w:val="0"/>
                <w:szCs w:val="21"/>
              </w:rPr>
            </w:pPr>
            <w:r>
              <w:rPr>
                <w:rFonts w:hint="eastAsia" w:ascii="仿宋_GB2312" w:hAnsi="仿宋_GB2312" w:eastAsia="仿宋_GB2312" w:cs="仿宋_GB2312"/>
                <w:szCs w:val="21"/>
              </w:rPr>
              <w:t>偏离说明</w:t>
            </w:r>
          </w:p>
        </w:tc>
        <w:tc>
          <w:tcPr>
            <w:tcW w:w="1118" w:type="dxa"/>
            <w:tcBorders>
              <w:top w:val="single" w:color="auto" w:sz="4" w:space="0"/>
              <w:left w:val="single" w:color="auto" w:sz="4" w:space="0"/>
              <w:bottom w:val="single" w:color="auto" w:sz="4" w:space="0"/>
              <w:right w:val="single" w:color="auto" w:sz="4" w:space="0"/>
            </w:tcBorders>
            <w:vAlign w:val="center"/>
          </w:tcPr>
          <w:p>
            <w:pPr>
              <w:tabs>
                <w:tab w:val="left" w:pos="-75"/>
              </w:tabs>
              <w:spacing w:line="240" w:lineRule="exact"/>
              <w:ind w:right="-56" w:rightChars="-27"/>
              <w:jc w:val="center"/>
              <w:rPr>
                <w:rFonts w:ascii="仿宋_GB2312" w:hAnsi="仿宋_GB2312" w:eastAsia="仿宋_GB2312" w:cs="仿宋_GB2312"/>
                <w:kern w:val="0"/>
                <w:szCs w:val="21"/>
              </w:rPr>
            </w:pPr>
            <w:r>
              <w:rPr>
                <w:rFonts w:hint="eastAsia" w:ascii="仿宋_GB2312" w:hAnsi="仿宋_GB2312" w:eastAsia="仿宋_GB2312" w:cs="仿宋_GB2312"/>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trPr>
        <w:tc>
          <w:tcPr>
            <w:tcW w:w="3043" w:type="dxa"/>
            <w:tcBorders>
              <w:top w:val="single" w:color="auto" w:sz="4" w:space="0"/>
              <w:left w:val="single" w:color="auto" w:sz="4" w:space="0"/>
              <w:bottom w:val="single" w:color="auto" w:sz="4" w:space="0"/>
              <w:right w:val="single" w:color="auto" w:sz="4" w:space="0"/>
            </w:tcBorders>
            <w:vAlign w:val="center"/>
          </w:tcPr>
          <w:p>
            <w:pPr>
              <w:adjustRightInd w:val="0"/>
              <w:snapToGrid w:val="0"/>
              <w:ind w:hanging="1"/>
              <w:jc w:val="center"/>
              <w:rPr>
                <w:rFonts w:ascii="仿宋_GB2312" w:hAnsi="仿宋_GB2312" w:eastAsia="仿宋_GB2312" w:cs="仿宋_GB2312"/>
                <w:szCs w:val="21"/>
              </w:rPr>
            </w:pPr>
            <w:bookmarkStart w:id="141" w:name="_Hlk134252814"/>
            <w:r>
              <w:rPr>
                <w:rFonts w:hint="eastAsia" w:ascii="仿宋_GB2312" w:hAnsi="仿宋_GB2312" w:eastAsia="仿宋_GB2312" w:cs="仿宋_GB2312"/>
                <w:szCs w:val="21"/>
              </w:rPr>
              <w:t>按设计及相关规范要求完成本项目服务需求所列的全部服务内容</w:t>
            </w:r>
            <w:bookmarkEnd w:id="141"/>
          </w:p>
        </w:tc>
        <w:tc>
          <w:tcPr>
            <w:tcW w:w="2452" w:type="dxa"/>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jc w:val="center"/>
              <w:rPr>
                <w:rFonts w:ascii="仿宋_GB2312" w:hAnsi="仿宋_GB2312" w:eastAsia="仿宋_GB2312" w:cs="仿宋_GB2312"/>
                <w:kern w:val="0"/>
                <w:szCs w:val="21"/>
              </w:rPr>
            </w:pPr>
          </w:p>
        </w:tc>
        <w:tc>
          <w:tcPr>
            <w:tcW w:w="1118" w:type="dxa"/>
            <w:tcBorders>
              <w:top w:val="single" w:color="auto" w:sz="4" w:space="0"/>
              <w:left w:val="single" w:color="auto" w:sz="4" w:space="0"/>
              <w:bottom w:val="single" w:color="auto" w:sz="4" w:space="0"/>
              <w:right w:val="single" w:color="auto" w:sz="4" w:space="0"/>
            </w:tcBorders>
            <w:vAlign w:val="center"/>
          </w:tcPr>
          <w:p>
            <w:pPr>
              <w:tabs>
                <w:tab w:val="left" w:pos="-75"/>
              </w:tabs>
              <w:spacing w:line="240" w:lineRule="exact"/>
              <w:ind w:right="-56" w:rightChars="-27"/>
              <w:jc w:val="center"/>
              <w:rPr>
                <w:rFonts w:ascii="仿宋_GB2312" w:hAnsi="仿宋_GB2312" w:eastAsia="仿宋_GB2312" w:cs="仿宋_GB2312"/>
                <w:kern w:val="0"/>
                <w:szCs w:val="21"/>
              </w:rPr>
            </w:pPr>
          </w:p>
        </w:tc>
        <w:tc>
          <w:tcPr>
            <w:tcW w:w="1166" w:type="dxa"/>
            <w:tcBorders>
              <w:top w:val="single" w:color="auto" w:sz="4" w:space="0"/>
              <w:left w:val="single" w:color="auto" w:sz="4" w:space="0"/>
              <w:bottom w:val="single" w:color="auto" w:sz="4" w:space="0"/>
              <w:right w:val="single" w:color="auto" w:sz="4" w:space="0"/>
            </w:tcBorders>
            <w:vAlign w:val="center"/>
          </w:tcPr>
          <w:p>
            <w:pPr>
              <w:tabs>
                <w:tab w:val="left" w:pos="-75"/>
              </w:tabs>
              <w:spacing w:line="240" w:lineRule="exact"/>
              <w:ind w:right="-56" w:rightChars="-27"/>
              <w:jc w:val="center"/>
              <w:rPr>
                <w:rFonts w:ascii="仿宋_GB2312" w:hAnsi="仿宋_GB2312" w:eastAsia="仿宋_GB2312" w:cs="仿宋_GB2312"/>
                <w:kern w:val="0"/>
                <w:szCs w:val="21"/>
              </w:rPr>
            </w:pPr>
          </w:p>
        </w:tc>
        <w:tc>
          <w:tcPr>
            <w:tcW w:w="1118" w:type="dxa"/>
            <w:tcBorders>
              <w:top w:val="single" w:color="auto" w:sz="4" w:space="0"/>
              <w:left w:val="single" w:color="auto" w:sz="4" w:space="0"/>
              <w:bottom w:val="single" w:color="auto" w:sz="4" w:space="0"/>
              <w:right w:val="single" w:color="auto" w:sz="4" w:space="0"/>
            </w:tcBorders>
            <w:vAlign w:val="center"/>
          </w:tcPr>
          <w:p>
            <w:pPr>
              <w:tabs>
                <w:tab w:val="left" w:pos="-75"/>
              </w:tabs>
              <w:spacing w:line="240" w:lineRule="exact"/>
              <w:ind w:right="-56" w:rightChars="-27"/>
              <w:jc w:val="center"/>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trPr>
        <w:tc>
          <w:tcPr>
            <w:tcW w:w="3043" w:type="dxa"/>
            <w:tcBorders>
              <w:top w:val="single" w:color="auto" w:sz="4" w:space="0"/>
              <w:left w:val="single" w:color="auto" w:sz="4" w:space="0"/>
              <w:bottom w:val="single" w:color="auto" w:sz="4" w:space="0"/>
              <w:right w:val="single" w:color="auto" w:sz="4" w:space="0"/>
            </w:tcBorders>
            <w:vAlign w:val="center"/>
          </w:tcPr>
          <w:p>
            <w:pPr>
              <w:adjustRightInd w:val="0"/>
              <w:snapToGrid w:val="0"/>
              <w:ind w:hanging="1"/>
              <w:jc w:val="center"/>
              <w:rPr>
                <w:rFonts w:ascii="仿宋_GB2312" w:hAnsi="仿宋_GB2312" w:eastAsia="仿宋_GB2312" w:cs="仿宋_GB2312"/>
                <w:szCs w:val="21"/>
              </w:rPr>
            </w:pPr>
            <w:r>
              <w:rPr>
                <w:rFonts w:hint="eastAsia" w:ascii="仿宋_GB2312" w:hAnsi="仿宋_GB2312" w:eastAsia="仿宋_GB2312" w:cs="仿宋_GB2312"/>
                <w:szCs w:val="21"/>
              </w:rPr>
              <w:t>其它</w:t>
            </w:r>
          </w:p>
        </w:tc>
        <w:tc>
          <w:tcPr>
            <w:tcW w:w="2452" w:type="dxa"/>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szCs w:val="21"/>
              </w:rPr>
              <w:t>采购单位未提供需求而投标人认为需说明及补充的内容在此填列</w:t>
            </w:r>
          </w:p>
        </w:tc>
        <w:tc>
          <w:tcPr>
            <w:tcW w:w="1118" w:type="dxa"/>
            <w:tcBorders>
              <w:top w:val="single" w:color="auto" w:sz="4" w:space="0"/>
              <w:left w:val="single" w:color="auto" w:sz="4" w:space="0"/>
              <w:bottom w:val="single" w:color="auto" w:sz="4" w:space="0"/>
              <w:right w:val="single" w:color="auto" w:sz="4" w:space="0"/>
            </w:tcBorders>
            <w:vAlign w:val="center"/>
          </w:tcPr>
          <w:p>
            <w:pPr>
              <w:tabs>
                <w:tab w:val="left" w:pos="-75"/>
              </w:tabs>
              <w:spacing w:line="240" w:lineRule="exact"/>
              <w:ind w:right="-56" w:rightChars="-27"/>
              <w:jc w:val="center"/>
              <w:rPr>
                <w:rFonts w:ascii="仿宋_GB2312" w:hAnsi="仿宋_GB2312" w:eastAsia="仿宋_GB2312" w:cs="仿宋_GB2312"/>
                <w:kern w:val="0"/>
                <w:szCs w:val="21"/>
              </w:rPr>
            </w:pPr>
          </w:p>
        </w:tc>
        <w:tc>
          <w:tcPr>
            <w:tcW w:w="1166" w:type="dxa"/>
            <w:tcBorders>
              <w:top w:val="single" w:color="auto" w:sz="4" w:space="0"/>
              <w:left w:val="single" w:color="auto" w:sz="4" w:space="0"/>
              <w:bottom w:val="single" w:color="auto" w:sz="4" w:space="0"/>
              <w:right w:val="single" w:color="auto" w:sz="4" w:space="0"/>
            </w:tcBorders>
            <w:vAlign w:val="center"/>
          </w:tcPr>
          <w:p>
            <w:pPr>
              <w:tabs>
                <w:tab w:val="left" w:pos="-75"/>
              </w:tabs>
              <w:spacing w:line="240" w:lineRule="exact"/>
              <w:ind w:right="-56" w:rightChars="-27"/>
              <w:jc w:val="center"/>
              <w:rPr>
                <w:rFonts w:ascii="仿宋_GB2312" w:hAnsi="仿宋_GB2312" w:eastAsia="仿宋_GB2312" w:cs="仿宋_GB2312"/>
                <w:kern w:val="0"/>
                <w:szCs w:val="21"/>
              </w:rPr>
            </w:pPr>
          </w:p>
        </w:tc>
        <w:tc>
          <w:tcPr>
            <w:tcW w:w="1118" w:type="dxa"/>
            <w:tcBorders>
              <w:top w:val="single" w:color="auto" w:sz="4" w:space="0"/>
              <w:left w:val="single" w:color="auto" w:sz="4" w:space="0"/>
              <w:bottom w:val="single" w:color="auto" w:sz="4" w:space="0"/>
              <w:right w:val="single" w:color="auto" w:sz="4" w:space="0"/>
            </w:tcBorders>
            <w:vAlign w:val="center"/>
          </w:tcPr>
          <w:p>
            <w:pPr>
              <w:tabs>
                <w:tab w:val="left" w:pos="-75"/>
              </w:tabs>
              <w:spacing w:line="240" w:lineRule="exact"/>
              <w:ind w:right="-56" w:rightChars="-27"/>
              <w:jc w:val="center"/>
              <w:rPr>
                <w:rFonts w:ascii="仿宋_GB2312" w:hAnsi="仿宋_GB2312" w:eastAsia="仿宋_GB2312" w:cs="仿宋_GB2312"/>
                <w:kern w:val="0"/>
                <w:szCs w:val="21"/>
              </w:rPr>
            </w:pPr>
          </w:p>
        </w:tc>
      </w:tr>
    </w:tbl>
    <w:p>
      <w:pPr>
        <w:adjustRightInd w:val="0"/>
        <w:snapToGrid w:val="0"/>
        <w:spacing w:line="360" w:lineRule="auto"/>
        <w:ind w:right="105" w:rightChars="50"/>
        <w:jc w:val="left"/>
        <w:rPr>
          <w:rFonts w:ascii="仿宋_GB2312" w:hAnsi="仿宋_GB2312" w:eastAsia="仿宋_GB2312" w:cs="仿宋_GB2312"/>
          <w:b/>
          <w:szCs w:val="21"/>
        </w:rPr>
      </w:pPr>
      <w:r>
        <w:rPr>
          <w:rFonts w:hint="eastAsia" w:ascii="仿宋_GB2312" w:hAnsi="仿宋_GB2312" w:eastAsia="仿宋_GB2312" w:cs="仿宋_GB2312"/>
          <w:b/>
          <w:szCs w:val="21"/>
        </w:rPr>
        <w:t>填表要求：</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1．“投标文件响应内容”一栏由投标人按照招标文件要求填写并进行逐项响应。</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2．“偏离程度”一栏根据“投标文件响应内容”与招标文件逐项对照的结果填写。偏离必须用 “正偏离、负偏离或无偏离”三个名称中的一种进行标注。</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3．“偏离说明”一栏由投标人对偏离的情况做详细说明。</w:t>
      </w:r>
    </w:p>
    <w:p>
      <w:pPr>
        <w:adjustRightInd w:val="0"/>
        <w:snapToGrid w:val="0"/>
        <w:spacing w:line="360" w:lineRule="auto"/>
        <w:rPr>
          <w:rFonts w:ascii="仿宋_GB2312" w:hAnsi="仿宋_GB2312" w:eastAsia="仿宋_GB2312" w:cs="仿宋_GB2312"/>
          <w:szCs w:val="21"/>
        </w:rPr>
      </w:pPr>
    </w:p>
    <w:p>
      <w:pPr>
        <w:adjustRightInd w:val="0"/>
        <w:snapToGrid w:val="0"/>
        <w:spacing w:line="360" w:lineRule="auto"/>
        <w:rPr>
          <w:rFonts w:ascii="仿宋_GB2312" w:hAnsi="仿宋_GB2312" w:eastAsia="仿宋_GB2312" w:cs="仿宋_GB2312"/>
          <w:szCs w:val="21"/>
        </w:rPr>
      </w:pPr>
    </w:p>
    <w:p>
      <w:pPr>
        <w:adjustRightInd w:val="0"/>
        <w:snapToGrid w:val="0"/>
        <w:spacing w:line="360" w:lineRule="auto"/>
        <w:rPr>
          <w:rFonts w:ascii="仿宋_GB2312" w:hAnsi="仿宋_GB2312" w:eastAsia="仿宋_GB2312" w:cs="仿宋_GB2312"/>
          <w:szCs w:val="21"/>
        </w:rPr>
      </w:pP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其授权委托人(签字或盖章)：</w:t>
      </w:r>
      <w:r>
        <w:rPr>
          <w:rFonts w:hint="eastAsia" w:ascii="仿宋_GB2312" w:hAnsi="仿宋_GB2312" w:eastAsia="仿宋_GB2312" w:cs="仿宋_GB2312"/>
          <w:u w:val="single"/>
        </w:rPr>
        <w:t xml:space="preserve">           </w:t>
      </w:r>
    </w:p>
    <w:p>
      <w:pPr>
        <w:adjustRightInd w:val="0"/>
        <w:snapToGrid w:val="0"/>
        <w:spacing w:line="360" w:lineRule="auto"/>
        <w:ind w:right="105" w:rightChars="50"/>
        <w:jc w:val="left"/>
        <w:rPr>
          <w:rFonts w:ascii="仿宋_GB2312" w:hAnsi="仿宋_GB2312" w:eastAsia="仿宋_GB2312" w:cs="仿宋_GB2312"/>
          <w:szCs w:val="21"/>
          <w:u w:val="single"/>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r>
        <w:rPr>
          <w:rFonts w:hint="eastAsia" w:ascii="仿宋_GB2312" w:hAnsi="仿宋_GB2312" w:eastAsia="仿宋_GB2312" w:cs="仿宋_GB2312"/>
          <w:szCs w:val="21"/>
          <w:u w:val="single"/>
        </w:rPr>
        <w:t xml:space="preserve"> </w:t>
      </w:r>
    </w:p>
    <w:p>
      <w:pPr>
        <w:widowControl/>
        <w:jc w:val="left"/>
        <w:rPr>
          <w:rFonts w:ascii="仿宋_GB2312" w:hAnsi="仿宋_GB2312" w:eastAsia="仿宋_GB2312" w:cs="仿宋_GB2312"/>
          <w:szCs w:val="21"/>
        </w:rPr>
      </w:pPr>
      <w:r>
        <w:rPr>
          <w:rFonts w:ascii="仿宋_GB2312" w:hAnsi="仿宋_GB2312" w:eastAsia="仿宋_GB2312" w:cs="仿宋_GB2312"/>
          <w:szCs w:val="21"/>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格式14</w:t>
      </w:r>
    </w:p>
    <w:p>
      <w:pPr>
        <w:adjustRightInd w:val="0"/>
        <w:snapToGrid w:val="0"/>
        <w:ind w:right="105" w:rightChars="50"/>
        <w:jc w:val="center"/>
        <w:rPr>
          <w:rFonts w:ascii="仿宋_GB2312" w:hAnsi="仿宋_GB2312" w:eastAsia="仿宋_GB2312" w:cs="仿宋_GB2312"/>
          <w:b/>
          <w:bCs/>
          <w:sz w:val="32"/>
          <w:szCs w:val="32"/>
        </w:rPr>
      </w:pPr>
      <w:bookmarkStart w:id="142" w:name="_Toc8488_WPSOffice_Level2"/>
      <w:bookmarkStart w:id="143" w:name="_Toc4431_WPSOffice_Level2"/>
      <w:r>
        <w:rPr>
          <w:rFonts w:hint="eastAsia" w:ascii="仿宋_GB2312" w:hAnsi="仿宋_GB2312" w:eastAsia="仿宋_GB2312" w:cs="仿宋_GB2312"/>
          <w:b/>
          <w:bCs/>
          <w:sz w:val="32"/>
          <w:szCs w:val="32"/>
        </w:rPr>
        <w:t>商务条款偏离表</w:t>
      </w:r>
      <w:bookmarkEnd w:id="142"/>
      <w:bookmarkEnd w:id="143"/>
    </w:p>
    <w:p>
      <w:pPr>
        <w:adjustRightInd w:val="0"/>
        <w:snapToGrid w:val="0"/>
        <w:spacing w:line="360" w:lineRule="auto"/>
        <w:ind w:right="105" w:rightChars="50"/>
        <w:jc w:val="left"/>
        <w:rPr>
          <w:rFonts w:ascii="仿宋_GB2312" w:hAnsi="仿宋_GB2312" w:eastAsia="仿宋_GB2312" w:cs="仿宋_GB2312"/>
          <w:b/>
          <w:bCs/>
          <w:szCs w:val="21"/>
        </w:rPr>
      </w:pPr>
      <w:r>
        <w:rPr>
          <w:rFonts w:hint="eastAsia" w:ascii="仿宋_GB2312" w:hAnsi="仿宋_GB2312" w:eastAsia="仿宋_GB2312" w:cs="仿宋_GB2312"/>
          <w:b/>
          <w:bCs/>
          <w:szCs w:val="21"/>
        </w:rPr>
        <w:t xml:space="preserve">包号： </w:t>
      </w:r>
    </w:p>
    <w:tbl>
      <w:tblPr>
        <w:tblStyle w:val="12"/>
        <w:tblW w:w="8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3608"/>
        <w:gridCol w:w="2359"/>
        <w:gridCol w:w="1003"/>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697" w:type="dxa"/>
            <w:vAlign w:val="center"/>
          </w:tcPr>
          <w:p>
            <w:pPr>
              <w:adjustRightInd w:val="0"/>
              <w:snapToGrid w:val="0"/>
              <w:ind w:right="-48" w:rightChars="-23"/>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3608" w:type="dxa"/>
            <w:vAlign w:val="center"/>
          </w:tcPr>
          <w:p>
            <w:pPr>
              <w:adjustRightInd w:val="0"/>
              <w:snapToGrid w:val="0"/>
              <w:ind w:right="-73" w:rightChars="-35"/>
              <w:jc w:val="center"/>
              <w:rPr>
                <w:rFonts w:ascii="仿宋_GB2312" w:hAnsi="仿宋_GB2312" w:eastAsia="仿宋_GB2312" w:cs="仿宋_GB2312"/>
                <w:szCs w:val="21"/>
              </w:rPr>
            </w:pPr>
            <w:r>
              <w:rPr>
                <w:rFonts w:hint="eastAsia" w:ascii="仿宋_GB2312" w:hAnsi="仿宋_GB2312" w:eastAsia="仿宋_GB2312" w:cs="仿宋_GB2312"/>
                <w:szCs w:val="21"/>
              </w:rPr>
              <w:t>招标文件的商务条款</w:t>
            </w:r>
          </w:p>
          <w:p>
            <w:pPr>
              <w:adjustRightInd w:val="0"/>
              <w:snapToGrid w:val="0"/>
              <w:ind w:right="-73" w:rightChars="-35"/>
              <w:jc w:val="center"/>
              <w:rPr>
                <w:rFonts w:ascii="仿宋_GB2312" w:hAnsi="仿宋_GB2312" w:eastAsia="仿宋_GB2312" w:cs="仿宋_GB2312"/>
                <w:szCs w:val="21"/>
              </w:rPr>
            </w:pPr>
            <w:r>
              <w:rPr>
                <w:rFonts w:hint="eastAsia" w:ascii="仿宋_GB2312" w:hAnsi="仿宋_GB2312" w:eastAsia="仿宋_GB2312" w:cs="仿宋_GB2312"/>
                <w:szCs w:val="21"/>
              </w:rPr>
              <w:t>（</w:t>
            </w:r>
            <w:r>
              <w:rPr>
                <w:rFonts w:hint="eastAsia" w:ascii="仿宋_GB2312" w:hAnsi="仿宋_GB2312" w:eastAsia="仿宋_GB2312" w:cs="仿宋_GB2312"/>
                <w:b/>
                <w:sz w:val="18"/>
                <w:szCs w:val="18"/>
              </w:rPr>
              <w:t>实质性要求及重要指标用★标注，★标注项不得负偏离，如果负偏离，则投标文件无效。</w:t>
            </w:r>
            <w:r>
              <w:rPr>
                <w:rFonts w:hint="eastAsia" w:ascii="仿宋_GB2312" w:hAnsi="仿宋_GB2312" w:eastAsia="仿宋_GB2312" w:cs="仿宋_GB2312"/>
                <w:szCs w:val="21"/>
              </w:rPr>
              <w:t>）</w:t>
            </w:r>
          </w:p>
        </w:tc>
        <w:tc>
          <w:tcPr>
            <w:tcW w:w="2359" w:type="dxa"/>
            <w:vAlign w:val="center"/>
          </w:tcPr>
          <w:p>
            <w:pPr>
              <w:adjustRightInd w:val="0"/>
              <w:snapToGrid w:val="0"/>
              <w:ind w:right="-107" w:rightChars="-51"/>
              <w:jc w:val="center"/>
              <w:rPr>
                <w:rFonts w:ascii="仿宋_GB2312" w:hAnsi="仿宋_GB2312" w:eastAsia="仿宋_GB2312" w:cs="仿宋_GB2312"/>
                <w:szCs w:val="21"/>
              </w:rPr>
            </w:pPr>
            <w:r>
              <w:rPr>
                <w:rFonts w:hint="eastAsia" w:ascii="仿宋_GB2312" w:hAnsi="仿宋_GB2312" w:eastAsia="仿宋_GB2312" w:cs="仿宋_GB2312"/>
                <w:szCs w:val="21"/>
              </w:rPr>
              <w:t>投标文件响应内容</w:t>
            </w:r>
          </w:p>
        </w:tc>
        <w:tc>
          <w:tcPr>
            <w:tcW w:w="1003" w:type="dxa"/>
            <w:vAlign w:val="center"/>
          </w:tcPr>
          <w:p>
            <w:pPr>
              <w:adjustRightInd w:val="0"/>
              <w:snapToGrid w:val="0"/>
              <w:ind w:left="-58" w:leftChars="-28" w:right="-105" w:rightChars="-50"/>
              <w:rPr>
                <w:rFonts w:ascii="仿宋_GB2312" w:hAnsi="仿宋_GB2312" w:eastAsia="仿宋_GB2312" w:cs="仿宋_GB2312"/>
                <w:szCs w:val="21"/>
              </w:rPr>
            </w:pPr>
            <w:r>
              <w:rPr>
                <w:rFonts w:hint="eastAsia" w:ascii="仿宋_GB2312" w:hAnsi="仿宋_GB2312" w:eastAsia="仿宋_GB2312" w:cs="仿宋_GB2312"/>
                <w:szCs w:val="21"/>
              </w:rPr>
              <w:t>偏离程度</w:t>
            </w:r>
          </w:p>
        </w:tc>
        <w:tc>
          <w:tcPr>
            <w:tcW w:w="893" w:type="dxa"/>
            <w:vAlign w:val="center"/>
          </w:tcPr>
          <w:p>
            <w:pPr>
              <w:adjustRightInd w:val="0"/>
              <w:snapToGrid w:val="0"/>
              <w:ind w:left="-58" w:leftChars="-28" w:right="-105" w:rightChars="-50"/>
              <w:rPr>
                <w:rFonts w:ascii="仿宋_GB2312" w:hAnsi="仿宋_GB2312" w:eastAsia="仿宋_GB2312" w:cs="仿宋_GB2312"/>
                <w:szCs w:val="21"/>
              </w:rPr>
            </w:pPr>
            <w:r>
              <w:rPr>
                <w:rFonts w:hint="eastAsia" w:ascii="仿宋_GB2312" w:hAnsi="仿宋_GB2312" w:eastAsia="仿宋_GB2312" w:cs="仿宋_GB2312"/>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97" w:type="dxa"/>
            <w:vAlign w:val="center"/>
          </w:tcPr>
          <w:p>
            <w:pPr>
              <w:adjustRightInd w:val="0"/>
              <w:snapToGrid w:val="0"/>
              <w:ind w:right="105" w:rightChars="50"/>
              <w:jc w:val="center"/>
              <w:rPr>
                <w:rFonts w:ascii="仿宋_GB2312" w:hAnsi="仿宋_GB2312" w:eastAsia="仿宋_GB2312" w:cs="仿宋_GB2312"/>
                <w:szCs w:val="21"/>
              </w:rPr>
            </w:pPr>
            <w:r>
              <w:rPr>
                <w:rFonts w:hint="eastAsia" w:ascii="仿宋_GB2312" w:hAnsi="仿宋_GB2312" w:eastAsia="仿宋_GB2312" w:cs="仿宋_GB2312"/>
                <w:b/>
                <w:szCs w:val="21"/>
              </w:rPr>
              <w:t>★</w:t>
            </w:r>
            <w:r>
              <w:rPr>
                <w:rFonts w:hint="eastAsia" w:ascii="仿宋_GB2312" w:hAnsi="仿宋_GB2312" w:eastAsia="仿宋_GB2312" w:cs="仿宋_GB2312"/>
                <w:szCs w:val="21"/>
              </w:rPr>
              <w:t>1</w:t>
            </w:r>
          </w:p>
        </w:tc>
        <w:tc>
          <w:tcPr>
            <w:tcW w:w="3608" w:type="dxa"/>
            <w:vAlign w:val="center"/>
          </w:tcPr>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履约期限：签订合同后30天完成</w:t>
            </w:r>
          </w:p>
        </w:tc>
        <w:tc>
          <w:tcPr>
            <w:tcW w:w="2359" w:type="dxa"/>
            <w:vAlign w:val="center"/>
          </w:tcPr>
          <w:p>
            <w:pPr>
              <w:adjustRightInd w:val="0"/>
              <w:snapToGrid w:val="0"/>
              <w:ind w:right="105" w:rightChars="50"/>
              <w:jc w:val="center"/>
              <w:rPr>
                <w:rFonts w:ascii="仿宋_GB2312" w:hAnsi="仿宋_GB2312" w:eastAsia="仿宋_GB2312" w:cs="仿宋_GB2312"/>
                <w:szCs w:val="21"/>
              </w:rPr>
            </w:pPr>
          </w:p>
        </w:tc>
        <w:tc>
          <w:tcPr>
            <w:tcW w:w="1003" w:type="dxa"/>
            <w:vAlign w:val="center"/>
          </w:tcPr>
          <w:p>
            <w:pPr>
              <w:adjustRightInd w:val="0"/>
              <w:snapToGrid w:val="0"/>
              <w:ind w:right="105" w:rightChars="50"/>
              <w:jc w:val="center"/>
              <w:rPr>
                <w:rFonts w:ascii="仿宋_GB2312" w:hAnsi="仿宋_GB2312" w:eastAsia="仿宋_GB2312" w:cs="仿宋_GB2312"/>
                <w:szCs w:val="21"/>
              </w:rPr>
            </w:pPr>
          </w:p>
        </w:tc>
        <w:tc>
          <w:tcPr>
            <w:tcW w:w="893" w:type="dxa"/>
            <w:vAlign w:val="center"/>
          </w:tcPr>
          <w:p>
            <w:pPr>
              <w:adjustRightInd w:val="0"/>
              <w:snapToGrid w:val="0"/>
              <w:ind w:right="105" w:rightChars="5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97" w:type="dxa"/>
            <w:vAlign w:val="center"/>
          </w:tcPr>
          <w:p>
            <w:pPr>
              <w:adjustRightInd w:val="0"/>
              <w:snapToGrid w:val="0"/>
              <w:ind w:right="105" w:rightChars="50"/>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3608" w:type="dxa"/>
            <w:vAlign w:val="center"/>
          </w:tcPr>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履约地点：采购人指定地点</w:t>
            </w:r>
          </w:p>
        </w:tc>
        <w:tc>
          <w:tcPr>
            <w:tcW w:w="2359" w:type="dxa"/>
            <w:vAlign w:val="center"/>
          </w:tcPr>
          <w:p>
            <w:pPr>
              <w:adjustRightInd w:val="0"/>
              <w:snapToGrid w:val="0"/>
              <w:ind w:right="105" w:rightChars="50"/>
              <w:jc w:val="center"/>
              <w:rPr>
                <w:rFonts w:ascii="仿宋_GB2312" w:hAnsi="仿宋_GB2312" w:eastAsia="仿宋_GB2312" w:cs="仿宋_GB2312"/>
                <w:szCs w:val="21"/>
              </w:rPr>
            </w:pPr>
          </w:p>
        </w:tc>
        <w:tc>
          <w:tcPr>
            <w:tcW w:w="1003" w:type="dxa"/>
            <w:vAlign w:val="center"/>
          </w:tcPr>
          <w:p>
            <w:pPr>
              <w:adjustRightInd w:val="0"/>
              <w:snapToGrid w:val="0"/>
              <w:ind w:right="105" w:rightChars="50"/>
              <w:jc w:val="center"/>
              <w:rPr>
                <w:rFonts w:ascii="仿宋_GB2312" w:hAnsi="仿宋_GB2312" w:eastAsia="仿宋_GB2312" w:cs="仿宋_GB2312"/>
                <w:szCs w:val="21"/>
              </w:rPr>
            </w:pPr>
          </w:p>
        </w:tc>
        <w:tc>
          <w:tcPr>
            <w:tcW w:w="893" w:type="dxa"/>
            <w:vAlign w:val="center"/>
          </w:tcPr>
          <w:p>
            <w:pPr>
              <w:adjustRightInd w:val="0"/>
              <w:snapToGrid w:val="0"/>
              <w:ind w:right="105" w:rightChars="5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97" w:type="dxa"/>
            <w:vAlign w:val="center"/>
          </w:tcPr>
          <w:p>
            <w:pPr>
              <w:adjustRightInd w:val="0"/>
              <w:snapToGrid w:val="0"/>
              <w:ind w:right="105" w:rightChars="50"/>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3608" w:type="dxa"/>
            <w:vAlign w:val="center"/>
          </w:tcPr>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付款方式及条件：</w:t>
            </w:r>
          </w:p>
          <w:p>
            <w:pPr>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（1）合同生效之日起10个工作日内，采购人向中标人无息支付合同总金额的30%。</w:t>
            </w:r>
          </w:p>
          <w:p>
            <w:pPr>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（2）项目成果通过不动产汇交后，10个工作日内，采购人向中标人无息支付项目总价款的30%。</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（3）项目通过验收后，10个工作日内，采购人向中标人无息支付项目总价款的40%。</w:t>
            </w:r>
          </w:p>
        </w:tc>
        <w:tc>
          <w:tcPr>
            <w:tcW w:w="2359" w:type="dxa"/>
            <w:vAlign w:val="center"/>
          </w:tcPr>
          <w:p>
            <w:pPr>
              <w:adjustRightInd w:val="0"/>
              <w:snapToGrid w:val="0"/>
              <w:ind w:right="105" w:rightChars="50"/>
              <w:jc w:val="center"/>
              <w:rPr>
                <w:rFonts w:ascii="仿宋_GB2312" w:hAnsi="仿宋_GB2312" w:eastAsia="仿宋_GB2312" w:cs="仿宋_GB2312"/>
                <w:szCs w:val="21"/>
              </w:rPr>
            </w:pPr>
          </w:p>
        </w:tc>
        <w:tc>
          <w:tcPr>
            <w:tcW w:w="1003" w:type="dxa"/>
            <w:vAlign w:val="center"/>
          </w:tcPr>
          <w:p>
            <w:pPr>
              <w:adjustRightInd w:val="0"/>
              <w:snapToGrid w:val="0"/>
              <w:ind w:right="105" w:rightChars="50"/>
              <w:jc w:val="center"/>
              <w:rPr>
                <w:rFonts w:ascii="仿宋_GB2312" w:hAnsi="仿宋_GB2312" w:eastAsia="仿宋_GB2312" w:cs="仿宋_GB2312"/>
                <w:szCs w:val="21"/>
              </w:rPr>
            </w:pPr>
          </w:p>
        </w:tc>
        <w:tc>
          <w:tcPr>
            <w:tcW w:w="893" w:type="dxa"/>
            <w:vAlign w:val="center"/>
          </w:tcPr>
          <w:p>
            <w:pPr>
              <w:adjustRightInd w:val="0"/>
              <w:snapToGrid w:val="0"/>
              <w:ind w:right="105" w:rightChars="5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jc w:val="center"/>
        </w:trPr>
        <w:tc>
          <w:tcPr>
            <w:tcW w:w="697" w:type="dxa"/>
            <w:vAlign w:val="center"/>
          </w:tcPr>
          <w:p>
            <w:pPr>
              <w:adjustRightInd w:val="0"/>
              <w:snapToGrid w:val="0"/>
              <w:ind w:right="105" w:rightChars="50"/>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3608" w:type="dxa"/>
            <w:vAlign w:val="center"/>
          </w:tcPr>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验收标准：合格</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验收程序：按《辽宁省政府采购履约验收管理办法》执行</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验收报告：按《辽宁省政府采购履约验收管理办法》执行</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组织验收主体：本项目的履约验收工作由采购人依法组织实施。</w:t>
            </w:r>
          </w:p>
        </w:tc>
        <w:tc>
          <w:tcPr>
            <w:tcW w:w="2359" w:type="dxa"/>
            <w:vAlign w:val="center"/>
          </w:tcPr>
          <w:p>
            <w:pPr>
              <w:adjustRightInd w:val="0"/>
              <w:snapToGrid w:val="0"/>
              <w:ind w:right="105" w:rightChars="50"/>
              <w:jc w:val="center"/>
              <w:rPr>
                <w:rFonts w:ascii="仿宋_GB2312" w:hAnsi="仿宋_GB2312" w:eastAsia="仿宋_GB2312" w:cs="仿宋_GB2312"/>
                <w:szCs w:val="21"/>
              </w:rPr>
            </w:pPr>
          </w:p>
        </w:tc>
        <w:tc>
          <w:tcPr>
            <w:tcW w:w="1003" w:type="dxa"/>
            <w:vAlign w:val="center"/>
          </w:tcPr>
          <w:p>
            <w:pPr>
              <w:adjustRightInd w:val="0"/>
              <w:snapToGrid w:val="0"/>
              <w:ind w:right="105" w:rightChars="50"/>
              <w:jc w:val="center"/>
              <w:rPr>
                <w:rFonts w:ascii="仿宋_GB2312" w:hAnsi="仿宋_GB2312" w:eastAsia="仿宋_GB2312" w:cs="仿宋_GB2312"/>
                <w:szCs w:val="21"/>
              </w:rPr>
            </w:pPr>
          </w:p>
        </w:tc>
        <w:tc>
          <w:tcPr>
            <w:tcW w:w="893" w:type="dxa"/>
            <w:vAlign w:val="center"/>
          </w:tcPr>
          <w:p>
            <w:pPr>
              <w:adjustRightInd w:val="0"/>
              <w:snapToGrid w:val="0"/>
              <w:ind w:right="105" w:rightChars="5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97" w:type="dxa"/>
            <w:vAlign w:val="center"/>
          </w:tcPr>
          <w:p>
            <w:pPr>
              <w:adjustRightInd w:val="0"/>
              <w:snapToGrid w:val="0"/>
              <w:ind w:right="105" w:rightChars="50"/>
              <w:jc w:val="center"/>
              <w:rPr>
                <w:rFonts w:hint="eastAsia" w:ascii="仿宋_GB2312" w:hAnsi="仿宋_GB2312" w:eastAsia="仿宋_GB2312" w:cs="仿宋_GB2312"/>
                <w:szCs w:val="21"/>
              </w:rPr>
            </w:pPr>
            <w:r>
              <w:rPr>
                <w:rFonts w:hint="eastAsia" w:ascii="仿宋_GB2312" w:hAnsi="仿宋_GB2312" w:eastAsia="仿宋_GB2312" w:cs="仿宋_GB2312"/>
                <w:szCs w:val="21"/>
              </w:rPr>
              <w:t>★5</w:t>
            </w:r>
          </w:p>
        </w:tc>
        <w:tc>
          <w:tcPr>
            <w:tcW w:w="3608" w:type="dxa"/>
            <w:vAlign w:val="center"/>
          </w:tcPr>
          <w:p>
            <w:pPr>
              <w:adjustRightInd w:val="0"/>
              <w:snapToGrid w:val="0"/>
              <w:ind w:hanging="1"/>
              <w:rPr>
                <w:rFonts w:ascii="仿宋_GB2312" w:hAnsi="仿宋_GB2312" w:eastAsia="仿宋_GB2312" w:cs="仿宋_GB2312"/>
                <w:szCs w:val="21"/>
              </w:rPr>
            </w:pPr>
            <w:r>
              <w:rPr>
                <w:rFonts w:hint="eastAsia" w:ascii="仿宋_GB2312" w:hAnsi="仿宋_GB2312" w:eastAsia="仿宋_GB2312" w:cs="仿宋_GB2312"/>
                <w:szCs w:val="21"/>
              </w:rPr>
              <w:t>质量标准：合格</w:t>
            </w:r>
          </w:p>
        </w:tc>
        <w:tc>
          <w:tcPr>
            <w:tcW w:w="2359" w:type="dxa"/>
            <w:vAlign w:val="center"/>
          </w:tcPr>
          <w:p>
            <w:pPr>
              <w:adjustRightInd w:val="0"/>
              <w:snapToGrid w:val="0"/>
              <w:ind w:right="105" w:rightChars="50"/>
              <w:jc w:val="center"/>
              <w:rPr>
                <w:rFonts w:ascii="仿宋_GB2312" w:hAnsi="仿宋_GB2312" w:eastAsia="仿宋_GB2312" w:cs="仿宋_GB2312"/>
                <w:szCs w:val="21"/>
              </w:rPr>
            </w:pPr>
          </w:p>
        </w:tc>
        <w:tc>
          <w:tcPr>
            <w:tcW w:w="1003" w:type="dxa"/>
            <w:vAlign w:val="center"/>
          </w:tcPr>
          <w:p>
            <w:pPr>
              <w:adjustRightInd w:val="0"/>
              <w:snapToGrid w:val="0"/>
              <w:ind w:right="105" w:rightChars="50"/>
              <w:jc w:val="center"/>
              <w:rPr>
                <w:rFonts w:ascii="仿宋_GB2312" w:hAnsi="仿宋_GB2312" w:eastAsia="仿宋_GB2312" w:cs="仿宋_GB2312"/>
                <w:szCs w:val="21"/>
              </w:rPr>
            </w:pPr>
          </w:p>
        </w:tc>
        <w:tc>
          <w:tcPr>
            <w:tcW w:w="893" w:type="dxa"/>
            <w:vAlign w:val="center"/>
          </w:tcPr>
          <w:p>
            <w:pPr>
              <w:adjustRightInd w:val="0"/>
              <w:snapToGrid w:val="0"/>
              <w:ind w:right="105" w:rightChars="5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697" w:type="dxa"/>
            <w:vAlign w:val="center"/>
          </w:tcPr>
          <w:p>
            <w:pPr>
              <w:adjustRightInd w:val="0"/>
              <w:snapToGrid w:val="0"/>
              <w:ind w:right="105" w:rightChars="50"/>
              <w:jc w:val="center"/>
              <w:rPr>
                <w:rFonts w:ascii="仿宋_GB2312" w:hAnsi="仿宋_GB2312" w:eastAsia="仿宋_GB2312" w:cs="仿宋_GB2312"/>
                <w:szCs w:val="21"/>
              </w:rPr>
            </w:pPr>
          </w:p>
        </w:tc>
        <w:tc>
          <w:tcPr>
            <w:tcW w:w="3608" w:type="dxa"/>
            <w:vAlign w:val="center"/>
          </w:tcPr>
          <w:p>
            <w:pPr>
              <w:adjustRightInd w:val="0"/>
              <w:snapToGrid w:val="0"/>
              <w:ind w:hanging="1"/>
              <w:rPr>
                <w:rFonts w:ascii="仿宋_GB2312" w:hAnsi="仿宋_GB2312" w:eastAsia="仿宋_GB2312" w:cs="仿宋_GB2312"/>
                <w:szCs w:val="21"/>
              </w:rPr>
            </w:pPr>
            <w:r>
              <w:rPr>
                <w:rFonts w:hint="eastAsia" w:ascii="仿宋_GB2312" w:hAnsi="仿宋_GB2312" w:eastAsia="仿宋_GB2312" w:cs="仿宋_GB2312"/>
                <w:szCs w:val="21"/>
              </w:rPr>
              <w:t>其它</w:t>
            </w:r>
          </w:p>
        </w:tc>
        <w:tc>
          <w:tcPr>
            <w:tcW w:w="2359" w:type="dxa"/>
            <w:vAlign w:val="center"/>
          </w:tcPr>
          <w:p>
            <w:pPr>
              <w:adjustRightInd w:val="0"/>
              <w:snapToGrid w:val="0"/>
              <w:ind w:left="-37" w:leftChars="-18"/>
              <w:jc w:val="left"/>
              <w:rPr>
                <w:rFonts w:ascii="仿宋_GB2312" w:hAnsi="仿宋_GB2312" w:eastAsia="仿宋_GB2312" w:cs="仿宋_GB2312"/>
                <w:szCs w:val="21"/>
              </w:rPr>
            </w:pPr>
            <w:r>
              <w:rPr>
                <w:rFonts w:hint="eastAsia" w:ascii="仿宋_GB2312" w:hAnsi="仿宋_GB2312" w:eastAsia="仿宋_GB2312" w:cs="仿宋_GB2312"/>
                <w:szCs w:val="21"/>
              </w:rPr>
              <w:t>采购单位未提供需求而投标人认为需说明及补充的内容在此填列</w:t>
            </w:r>
          </w:p>
        </w:tc>
        <w:tc>
          <w:tcPr>
            <w:tcW w:w="1003" w:type="dxa"/>
            <w:vAlign w:val="center"/>
          </w:tcPr>
          <w:p>
            <w:pPr>
              <w:adjustRightInd w:val="0"/>
              <w:snapToGrid w:val="0"/>
              <w:ind w:right="105" w:rightChars="50"/>
              <w:jc w:val="center"/>
              <w:rPr>
                <w:rFonts w:ascii="仿宋_GB2312" w:hAnsi="仿宋_GB2312" w:eastAsia="仿宋_GB2312" w:cs="仿宋_GB2312"/>
                <w:szCs w:val="21"/>
              </w:rPr>
            </w:pPr>
          </w:p>
        </w:tc>
        <w:tc>
          <w:tcPr>
            <w:tcW w:w="893" w:type="dxa"/>
            <w:vAlign w:val="center"/>
          </w:tcPr>
          <w:p>
            <w:pPr>
              <w:adjustRightInd w:val="0"/>
              <w:snapToGrid w:val="0"/>
              <w:ind w:right="105" w:rightChars="50"/>
              <w:jc w:val="center"/>
              <w:rPr>
                <w:rFonts w:ascii="仿宋_GB2312" w:hAnsi="仿宋_GB2312" w:eastAsia="仿宋_GB2312" w:cs="仿宋_GB2312"/>
                <w:szCs w:val="21"/>
              </w:rPr>
            </w:pPr>
          </w:p>
        </w:tc>
      </w:tr>
    </w:tbl>
    <w:p>
      <w:pPr>
        <w:adjustRightInd w:val="0"/>
        <w:snapToGrid w:val="0"/>
        <w:spacing w:line="360" w:lineRule="auto"/>
        <w:ind w:right="105" w:rightChars="50"/>
        <w:jc w:val="left"/>
        <w:rPr>
          <w:rFonts w:ascii="仿宋_GB2312" w:hAnsi="仿宋_GB2312" w:eastAsia="仿宋_GB2312" w:cs="仿宋_GB2312"/>
          <w:szCs w:val="21"/>
        </w:rPr>
      </w:pPr>
      <w:r>
        <w:rPr>
          <w:rFonts w:hint="eastAsia" w:ascii="仿宋_GB2312" w:hAnsi="仿宋_GB2312" w:eastAsia="仿宋_GB2312" w:cs="仿宋_GB2312"/>
          <w:b/>
          <w:szCs w:val="21"/>
        </w:rPr>
        <w:t>填表要求：</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1．“投标文件响应内容”一栏由投标人按照招标文件要求填写，进行响应。</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2．“偏离程度”一栏根据“投标文件响应内容”与招标文件逐项对照的结果填写。偏离必须用 “正偏离、负偏离或无偏离”三个名称中的一种进行标注。</w:t>
      </w:r>
    </w:p>
    <w:p>
      <w:pPr>
        <w:adjustRightInd w:val="0"/>
        <w:snapToGrid w:val="0"/>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3．“偏离说明”一栏由投标人对偏离的情况做详细说明。</w:t>
      </w:r>
    </w:p>
    <w:p>
      <w:pPr>
        <w:adjustRightInd w:val="0"/>
        <w:snapToGrid w:val="0"/>
        <w:spacing w:line="360" w:lineRule="auto"/>
        <w:rPr>
          <w:rFonts w:ascii="仿宋_GB2312" w:hAnsi="仿宋_GB2312" w:eastAsia="仿宋_GB2312" w:cs="仿宋_GB2312"/>
          <w:szCs w:val="21"/>
        </w:rPr>
      </w:pP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其授权委托人(签字或盖章)：</w:t>
      </w:r>
      <w:r>
        <w:rPr>
          <w:rFonts w:hint="eastAsia" w:ascii="仿宋_GB2312" w:hAnsi="仿宋_GB2312" w:eastAsia="仿宋_GB2312" w:cs="仿宋_GB2312"/>
          <w:u w:val="single"/>
        </w:rPr>
        <w:t xml:space="preserve">           </w:t>
      </w: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格式15</w:t>
      </w:r>
    </w:p>
    <w:p>
      <w:pPr>
        <w:adjustRightInd w:val="0"/>
        <w:snapToGrid w:val="0"/>
        <w:spacing w:before="319" w:beforeLines="100" w:after="319" w:afterLines="100" w:line="360" w:lineRule="auto"/>
        <w:ind w:right="105" w:rightChars="50"/>
        <w:jc w:val="center"/>
        <w:rPr>
          <w:rFonts w:ascii="仿宋_GB2312" w:hAnsi="仿宋_GB2312" w:eastAsia="仿宋_GB2312" w:cs="仿宋_GB2312"/>
          <w:b/>
          <w:bCs/>
          <w:sz w:val="32"/>
          <w:szCs w:val="32"/>
        </w:rPr>
      </w:pPr>
      <w:bookmarkStart w:id="144" w:name="_Toc20929_WPSOffice_Level2"/>
      <w:bookmarkStart w:id="145" w:name="_Toc9410_WPSOffice_Level2"/>
      <w:r>
        <w:rPr>
          <w:rFonts w:hint="eastAsia" w:ascii="仿宋_GB2312" w:hAnsi="仿宋_GB2312" w:eastAsia="仿宋_GB2312" w:cs="仿宋_GB2312"/>
          <w:b/>
          <w:bCs/>
          <w:sz w:val="32"/>
          <w:szCs w:val="32"/>
        </w:rPr>
        <w:t>投标人关联单位的说明</w:t>
      </w:r>
      <w:bookmarkEnd w:id="144"/>
      <w:bookmarkEnd w:id="145"/>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说明：投标人应当如实披露与本单位存在下列关联关系的单位名称：</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bookmarkStart w:id="146" w:name="_Toc31070_WPSOffice_Level2"/>
      <w:bookmarkStart w:id="147" w:name="_Toc2074_WPSOffice_Level2"/>
      <w:r>
        <w:rPr>
          <w:rFonts w:hint="eastAsia" w:ascii="仿宋_GB2312" w:hAnsi="仿宋_GB2312" w:eastAsia="仿宋_GB2312" w:cs="仿宋_GB2312"/>
          <w:szCs w:val="21"/>
        </w:rPr>
        <w:t>（1）与投标人单位法定代表人（或非法人组织负责人）为同一人的其他单位；</w:t>
      </w:r>
      <w:bookmarkEnd w:id="146"/>
      <w:bookmarkEnd w:id="147"/>
    </w:p>
    <w:p>
      <w:pPr>
        <w:adjustRightInd w:val="0"/>
        <w:snapToGrid w:val="0"/>
        <w:spacing w:line="360" w:lineRule="auto"/>
        <w:ind w:right="105" w:rightChars="50" w:firstLine="476" w:firstLineChars="227"/>
        <w:jc w:val="left"/>
        <w:rPr>
          <w:rFonts w:ascii="仿宋_GB2312" w:hAnsi="仿宋_GB2312" w:eastAsia="仿宋_GB2312" w:cs="仿宋_GB2312"/>
          <w:szCs w:val="21"/>
        </w:rPr>
      </w:pPr>
      <w:bookmarkStart w:id="148" w:name="_Toc27053_WPSOffice_Level2"/>
      <w:bookmarkStart w:id="149" w:name="_Toc889_WPSOffice_Level2"/>
      <w:r>
        <w:rPr>
          <w:rFonts w:hint="eastAsia" w:ascii="仿宋_GB2312" w:hAnsi="仿宋_GB2312" w:eastAsia="仿宋_GB2312" w:cs="仿宋_GB2312"/>
          <w:szCs w:val="21"/>
        </w:rPr>
        <w:t>（2）与投标人存在直接控股、管理关系的其他单位。</w:t>
      </w:r>
      <w:bookmarkEnd w:id="148"/>
      <w:bookmarkEnd w:id="149"/>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注：若无此情形，写“无”即可</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其授权委托人(签字或盖章)：</w:t>
      </w:r>
      <w:r>
        <w:rPr>
          <w:rFonts w:hint="eastAsia" w:ascii="仿宋_GB2312" w:hAnsi="仿宋_GB2312" w:eastAsia="仿宋_GB2312" w:cs="仿宋_GB2312"/>
          <w:u w:val="single"/>
        </w:rPr>
        <w:t xml:space="preserve">           </w:t>
      </w:r>
    </w:p>
    <w:p>
      <w:pPr>
        <w:adjustRightInd w:val="0"/>
        <w:snapToGrid w:val="0"/>
        <w:spacing w:line="480" w:lineRule="auto"/>
        <w:ind w:right="105" w:rightChars="50"/>
        <w:jc w:val="left"/>
        <w:rPr>
          <w:rFonts w:ascii="仿宋_GB2312" w:hAnsi="仿宋_GB2312" w:eastAsia="仿宋_GB2312" w:cs="仿宋_GB2312"/>
          <w:u w:val="single"/>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adjustRightInd w:val="0"/>
        <w:snapToGrid w:val="0"/>
        <w:spacing w:line="360" w:lineRule="auto"/>
        <w:ind w:right="105" w:rightChars="50"/>
        <w:jc w:val="left"/>
        <w:rPr>
          <w:rFonts w:ascii="仿宋_GB2312" w:hAnsi="仿宋_GB2312" w:eastAsia="仿宋_GB2312" w:cs="仿宋_GB2312"/>
          <w:u w:val="single"/>
        </w:rPr>
      </w:pPr>
    </w:p>
    <w:p>
      <w:pPr>
        <w:widowControl/>
        <w:jc w:val="left"/>
        <w:rPr>
          <w:rFonts w:ascii="仿宋_GB2312" w:hAnsi="仿宋_GB2312" w:eastAsia="仿宋_GB2312" w:cs="仿宋_GB2312"/>
          <w:b/>
          <w:sz w:val="28"/>
          <w:szCs w:val="28"/>
        </w:rPr>
      </w:pPr>
      <w:r>
        <w:rPr>
          <w:rFonts w:ascii="仿宋_GB2312" w:hAnsi="仿宋_GB2312" w:eastAsia="仿宋_GB2312" w:cs="仿宋_GB2312"/>
          <w:b/>
          <w:sz w:val="28"/>
          <w:szCs w:val="28"/>
        </w:rPr>
        <w:br w:type="page"/>
      </w:r>
    </w:p>
    <w:p>
      <w:pPr>
        <w:pStyle w:val="3"/>
        <w:adjustRightInd w:val="0"/>
        <w:snapToGrid w:val="0"/>
        <w:spacing w:before="0" w:after="0" w:line="240" w:lineRule="auto"/>
        <w:jc w:val="left"/>
        <w:rPr>
          <w:rFonts w:ascii="仿宋_GB2312" w:hAnsi="仿宋_GB2312" w:eastAsia="仿宋_GB2312" w:cs="仿宋_GB2312"/>
          <w:szCs w:val="28"/>
        </w:rPr>
      </w:pPr>
      <w:bookmarkStart w:id="150" w:name="_Hlk73969800"/>
      <w:r>
        <w:rPr>
          <w:rFonts w:hint="eastAsia" w:ascii="仿宋_GB2312" w:hAnsi="仿宋_GB2312" w:eastAsia="仿宋_GB2312" w:cs="仿宋_GB2312"/>
          <w:szCs w:val="28"/>
        </w:rPr>
        <w:t>格式16</w:t>
      </w:r>
    </w:p>
    <w:bookmarkEnd w:id="150"/>
    <w:p>
      <w:pPr>
        <w:spacing w:before="319" w:beforeLines="100" w:after="319" w:afterLines="100"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备份文件与电子评审系统中上传的投标（响应）文件一致性承诺函</w:t>
      </w:r>
    </w:p>
    <w:p>
      <w:pPr>
        <w:adjustRightInd w:val="0"/>
        <w:snapToGrid w:val="0"/>
        <w:spacing w:line="360" w:lineRule="auto"/>
        <w:ind w:right="630" w:rightChars="300"/>
        <w:rPr>
          <w:rFonts w:ascii="仿宋_GB2312" w:hAnsi="仿宋_GB2312" w:eastAsia="仿宋_GB2312" w:cs="仿宋_GB2312"/>
          <w:szCs w:val="21"/>
          <w:u w:val="single"/>
        </w:rPr>
      </w:pPr>
      <w:r>
        <w:rPr>
          <w:rFonts w:hint="eastAsia" w:ascii="仿宋_GB2312" w:hAnsi="仿宋_GB2312" w:eastAsia="仿宋_GB2312" w:cs="仿宋_GB2312"/>
          <w:szCs w:val="21"/>
          <w:u w:val="single"/>
        </w:rPr>
        <w:t>（采购人或采购代理机构名称）：</w:t>
      </w:r>
    </w:p>
    <w:p>
      <w:pPr>
        <w:spacing w:line="500" w:lineRule="exact"/>
        <w:ind w:right="-21" w:rightChars="-10" w:firstLine="493" w:firstLineChars="235"/>
        <w:rPr>
          <w:rFonts w:ascii="仿宋" w:hAnsi="仿宋" w:cs="仿宋"/>
          <w:szCs w:val="21"/>
        </w:rPr>
      </w:pPr>
      <w:r>
        <w:rPr>
          <w:rFonts w:hint="eastAsia" w:ascii="仿宋" w:hAnsi="仿宋" w:cs="仿宋"/>
          <w:szCs w:val="21"/>
        </w:rPr>
        <w:t>根据《关于完善政府采购电子评审业务流程等有关事宜的通知》辽财采函〔2021〕363 号文件的要求，本公司郑重承诺，在参与</w:t>
      </w:r>
      <w:r>
        <w:rPr>
          <w:rFonts w:hint="eastAsia" w:ascii="仿宋" w:hAnsi="仿宋" w:cs="仿宋"/>
          <w:szCs w:val="21"/>
          <w:u w:val="single"/>
        </w:rPr>
        <w:t>(项目名称、项目编号、包号)</w:t>
      </w:r>
      <w:r>
        <w:rPr>
          <w:rFonts w:hint="eastAsia" w:ascii="仿宋" w:hAnsi="仿宋" w:cs="仿宋"/>
          <w:szCs w:val="21"/>
        </w:rPr>
        <w:t>政府采购活动中</w:t>
      </w:r>
      <w:bookmarkStart w:id="151" w:name="_Hlk77082718"/>
      <w:r>
        <w:rPr>
          <w:rFonts w:hint="eastAsia" w:ascii="仿宋" w:hAnsi="仿宋" w:cs="仿宋"/>
          <w:szCs w:val="21"/>
        </w:rPr>
        <w:t>备份文件与电子评审系统中上传的投标（响应）文件内容、格式</w:t>
      </w:r>
      <w:bookmarkEnd w:id="151"/>
      <w:r>
        <w:rPr>
          <w:rFonts w:hint="eastAsia" w:ascii="仿宋" w:hAnsi="仿宋" w:cs="仿宋"/>
          <w:szCs w:val="21"/>
        </w:rPr>
        <w:t>一致。如发现我单位提供的备份文件与电子评审系统中上传的投标（响应）文件内容、格式不符，我单位将自愿放弃本次政府采购活动参与资格，并承担由此带来的相关责任及损失赔偿。</w:t>
      </w:r>
    </w:p>
    <w:p>
      <w:pPr>
        <w:spacing w:line="500" w:lineRule="exact"/>
        <w:ind w:right="1050" w:rightChars="500" w:firstLine="420" w:firstLineChars="200"/>
        <w:rPr>
          <w:rFonts w:ascii="仿宋" w:hAnsi="仿宋" w:cs="仿宋"/>
          <w:szCs w:val="21"/>
        </w:rPr>
      </w:pPr>
      <w:r>
        <w:rPr>
          <w:rFonts w:hint="eastAsia" w:ascii="仿宋" w:hAnsi="仿宋" w:cs="仿宋"/>
          <w:szCs w:val="21"/>
        </w:rPr>
        <w:t>特此承诺。</w:t>
      </w:r>
    </w:p>
    <w:p>
      <w:pPr>
        <w:spacing w:line="500" w:lineRule="exact"/>
        <w:ind w:right="1050" w:rightChars="500" w:firstLine="420" w:firstLineChars="200"/>
        <w:rPr>
          <w:rFonts w:ascii="仿宋" w:hAnsi="仿宋" w:cs="仿宋"/>
          <w:szCs w:val="21"/>
        </w:rPr>
      </w:pPr>
    </w:p>
    <w:p>
      <w:pPr>
        <w:spacing w:before="159" w:beforeLines="50" w:after="159" w:afterLines="50" w:line="400" w:lineRule="exact"/>
        <w:ind w:right="1050" w:rightChars="500" w:firstLine="420" w:firstLineChars="200"/>
        <w:rPr>
          <w:rFonts w:ascii="仿宋" w:hAnsi="仿宋" w:cs="仿宋"/>
          <w:szCs w:val="21"/>
        </w:rPr>
      </w:pPr>
    </w:p>
    <w:p>
      <w:pPr>
        <w:spacing w:before="159" w:beforeLines="50" w:after="159" w:afterLines="50" w:line="400" w:lineRule="exact"/>
        <w:ind w:right="1050" w:rightChars="500" w:firstLine="420" w:firstLineChars="200"/>
        <w:rPr>
          <w:rFonts w:ascii="仿宋" w:hAnsi="仿宋" w:cs="仿宋"/>
          <w:szCs w:val="21"/>
        </w:rPr>
      </w:pPr>
    </w:p>
    <w:p>
      <w:pPr>
        <w:spacing w:line="360" w:lineRule="exact"/>
        <w:ind w:left="1050" w:leftChars="500" w:right="1050" w:rightChars="500" w:firstLine="420" w:firstLineChars="200"/>
        <w:rPr>
          <w:rFonts w:ascii="仿宋" w:hAnsi="仿宋" w:cs="仿宋"/>
          <w:szCs w:val="21"/>
        </w:rPr>
      </w:pPr>
    </w:p>
    <w:p>
      <w:pPr>
        <w:spacing w:line="480" w:lineRule="auto"/>
        <w:rPr>
          <w:rFonts w:ascii="仿宋" w:hAnsi="仿宋" w:cs="仿宋"/>
        </w:rPr>
      </w:pPr>
      <w:r>
        <w:rPr>
          <w:rFonts w:hint="eastAsia" w:ascii="仿宋" w:hAnsi="仿宋" w:cs="仿宋"/>
        </w:rPr>
        <w:t>供应商名称（加盖单位公章）：</w:t>
      </w:r>
      <w:r>
        <w:rPr>
          <w:rFonts w:ascii="仿宋" w:hAnsi="仿宋" w:cs="仿宋"/>
          <w:u w:val="single"/>
        </w:rPr>
        <w:t xml:space="preserve">           </w:t>
      </w:r>
    </w:p>
    <w:p>
      <w:pPr>
        <w:spacing w:line="480" w:lineRule="auto"/>
        <w:rPr>
          <w:rFonts w:ascii="仿宋" w:hAnsi="仿宋" w:cs="仿宋"/>
        </w:rPr>
      </w:pPr>
      <w:r>
        <w:rPr>
          <w:rFonts w:hint="eastAsia" w:ascii="仿宋" w:hAnsi="仿宋" w:cs="仿宋"/>
        </w:rPr>
        <w:t>法定代表人（或</w:t>
      </w:r>
      <w:r>
        <w:rPr>
          <w:rFonts w:hint="eastAsia" w:ascii="仿宋" w:hAnsi="仿宋" w:cs="仿宋"/>
          <w:szCs w:val="21"/>
        </w:rPr>
        <w:t>非法人组织负责人</w:t>
      </w:r>
      <w:r>
        <w:rPr>
          <w:rFonts w:hint="eastAsia" w:ascii="仿宋" w:hAnsi="仿宋" w:cs="仿宋"/>
        </w:rPr>
        <w:t>）</w:t>
      </w:r>
      <w:r>
        <w:rPr>
          <w:rFonts w:hint="eastAsia" w:ascii="仿宋" w:hAnsi="仿宋" w:cs="仿宋"/>
          <w:szCs w:val="21"/>
        </w:rPr>
        <w:t>或</w:t>
      </w:r>
      <w:r>
        <w:rPr>
          <w:rFonts w:hint="eastAsia" w:ascii="仿宋" w:hAnsi="仿宋" w:cs="仿宋"/>
        </w:rPr>
        <w:t>其授权代表人</w:t>
      </w:r>
      <w:r>
        <w:rPr>
          <w:rFonts w:ascii="仿宋" w:hAnsi="仿宋" w:cs="仿宋"/>
        </w:rPr>
        <w:t>(</w:t>
      </w:r>
      <w:r>
        <w:rPr>
          <w:rFonts w:hint="eastAsia" w:ascii="仿宋" w:hAnsi="仿宋" w:cs="仿宋"/>
        </w:rPr>
        <w:t>签字或盖章</w:t>
      </w:r>
      <w:r>
        <w:rPr>
          <w:rFonts w:ascii="仿宋" w:hAnsi="仿宋" w:cs="仿宋"/>
        </w:rPr>
        <w:t>)</w:t>
      </w:r>
      <w:r>
        <w:rPr>
          <w:rFonts w:hint="eastAsia" w:ascii="仿宋" w:hAnsi="仿宋" w:cs="仿宋"/>
        </w:rPr>
        <w:t>：</w:t>
      </w:r>
      <w:r>
        <w:rPr>
          <w:rFonts w:ascii="仿宋" w:hAnsi="仿宋" w:cs="仿宋"/>
        </w:rPr>
        <w:t xml:space="preserve"> </w:t>
      </w:r>
      <w:r>
        <w:rPr>
          <w:rFonts w:ascii="仿宋" w:hAnsi="仿宋" w:cs="仿宋"/>
          <w:u w:val="single"/>
        </w:rPr>
        <w:t xml:space="preserve">         </w:t>
      </w:r>
    </w:p>
    <w:p>
      <w:pPr>
        <w:spacing w:line="480" w:lineRule="auto"/>
        <w:rPr>
          <w:rFonts w:ascii="仿宋" w:hAnsi="仿宋" w:cs="仿宋"/>
          <w:u w:val="single"/>
        </w:rPr>
      </w:pPr>
      <w:r>
        <w:rPr>
          <w:rFonts w:hint="eastAsia" w:ascii="仿宋" w:hAnsi="仿宋" w:cs="仿宋"/>
        </w:rPr>
        <w:t>日 期：</w:t>
      </w:r>
      <w:r>
        <w:rPr>
          <w:rFonts w:ascii="仿宋" w:hAnsi="仿宋" w:cs="仿宋"/>
        </w:rPr>
        <w:t xml:space="preserve"> </w:t>
      </w:r>
      <w:r>
        <w:rPr>
          <w:rFonts w:ascii="仿宋" w:hAnsi="仿宋" w:cs="仿宋"/>
          <w:u w:val="single"/>
        </w:rPr>
        <w:t xml:space="preserve">             </w:t>
      </w:r>
    </w:p>
    <w:p>
      <w:pPr>
        <w:widowControl/>
        <w:jc w:val="left"/>
        <w:rPr>
          <w:rFonts w:ascii="仿宋" w:hAnsi="仿宋" w:cs="仿宋"/>
        </w:rPr>
      </w:pPr>
      <w:r>
        <w:rPr>
          <w:rFonts w:ascii="仿宋" w:hAnsi="仿宋" w:cs="仿宋"/>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格式17</w:t>
      </w:r>
    </w:p>
    <w:p>
      <w:pPr>
        <w:spacing w:before="319" w:beforeLines="100" w:after="319" w:afterLines="100" w:line="360" w:lineRule="auto"/>
        <w:jc w:val="center"/>
        <w:rPr>
          <w:rFonts w:hint="eastAsia" w:ascii="仿宋" w:hAnsi="仿宋" w:cs="仿宋"/>
          <w:b/>
          <w:bCs/>
          <w:sz w:val="32"/>
          <w:szCs w:val="32"/>
        </w:rPr>
      </w:pPr>
      <w:r>
        <w:rPr>
          <w:rFonts w:hint="eastAsia" w:ascii="仿宋" w:hAnsi="仿宋" w:cs="仿宋"/>
          <w:b/>
          <w:bCs/>
          <w:sz w:val="32"/>
          <w:szCs w:val="32"/>
        </w:rPr>
        <w:t>中小企业声明函</w:t>
      </w:r>
    </w:p>
    <w:p>
      <w:pPr>
        <w:widowControl/>
        <w:spacing w:line="360" w:lineRule="auto"/>
        <w:jc w:val="left"/>
        <w:rPr>
          <w:rFonts w:ascii="仿宋" w:hAnsi="仿宋" w:cs="仿宋"/>
          <w:kern w:val="0"/>
          <w:szCs w:val="21"/>
        </w:rPr>
      </w:pPr>
      <w:r>
        <w:rPr>
          <w:rFonts w:hint="eastAsia" w:ascii="仿宋" w:hAnsi="仿宋" w:cs="仿宋"/>
          <w:kern w:val="0"/>
          <w:szCs w:val="21"/>
        </w:rPr>
        <w:t xml:space="preserve">   本公司（联合体）郑重声明，根据《政府采购促进中小企业发展管理办法》（财库﹝2020﹞46 号）的规定，本公司（联合体）参加</w:t>
      </w:r>
      <w:r>
        <w:rPr>
          <w:rFonts w:hint="eastAsia" w:ascii="仿宋" w:hAnsi="仿宋" w:cs="仿宋"/>
          <w:i/>
          <w:iCs/>
          <w:kern w:val="0"/>
          <w:szCs w:val="21"/>
          <w:u w:val="single"/>
        </w:rPr>
        <w:t>（单位名称）</w:t>
      </w:r>
      <w:r>
        <w:rPr>
          <w:rFonts w:hint="eastAsia" w:ascii="仿宋" w:hAnsi="仿宋" w:cs="仿宋"/>
          <w:kern w:val="0"/>
          <w:szCs w:val="21"/>
        </w:rPr>
        <w:t>的</w:t>
      </w:r>
      <w:r>
        <w:rPr>
          <w:rFonts w:hint="eastAsia" w:ascii="仿宋" w:hAnsi="仿宋" w:cs="仿宋"/>
          <w:i/>
          <w:iCs/>
          <w:kern w:val="0"/>
          <w:szCs w:val="21"/>
          <w:u w:val="single"/>
        </w:rPr>
        <w:t>（项目名称）</w:t>
      </w:r>
      <w:r>
        <w:rPr>
          <w:rFonts w:hint="eastAsia" w:ascii="仿宋" w:hAnsi="仿宋" w:cs="仿宋"/>
          <w:kern w:val="0"/>
          <w:szCs w:val="21"/>
        </w:rPr>
        <w:t>采购活动，工程的施工单位全部为符合政策要求的中小企业（或者：服务全部由符合政策要求的中小企业承接）。相关企业（含联合体中的中小企业、签订分包意向协议的中小企业）的具体情况如下：</w:t>
      </w:r>
    </w:p>
    <w:p>
      <w:pPr>
        <w:widowControl/>
        <w:spacing w:line="360" w:lineRule="auto"/>
        <w:jc w:val="left"/>
        <w:rPr>
          <w:rFonts w:ascii="仿宋" w:hAnsi="仿宋" w:cs="仿宋"/>
          <w:kern w:val="0"/>
          <w:szCs w:val="21"/>
        </w:rPr>
      </w:pPr>
      <w:r>
        <w:rPr>
          <w:kern w:val="0"/>
          <w:szCs w:val="21"/>
        </w:rPr>
        <w:t> </w:t>
      </w:r>
      <w:r>
        <w:rPr>
          <w:rFonts w:hint="eastAsia" w:ascii="仿宋" w:hAnsi="仿宋" w:cs="仿宋"/>
          <w:kern w:val="0"/>
          <w:szCs w:val="21"/>
        </w:rPr>
        <w:t xml:space="preserve"> 1.</w:t>
      </w:r>
      <w:r>
        <w:rPr>
          <w:rFonts w:hint="eastAsia" w:eastAsia="宋体" w:cs="Times New Roman"/>
        </w:rPr>
        <w:t xml:space="preserve"> </w:t>
      </w:r>
      <w:bookmarkStart w:id="152" w:name="_Hlk144368610"/>
      <w:r>
        <w:rPr>
          <w:rFonts w:hint="eastAsia" w:ascii="仿宋" w:hAnsi="仿宋" w:cs="仿宋"/>
          <w:i/>
          <w:iCs/>
          <w:kern w:val="0"/>
          <w:szCs w:val="21"/>
          <w:u w:val="single"/>
        </w:rPr>
        <w:t>铁岭县集体土地所有权确权登记更新成果、集体建设用地使用权成果入库汇交和林业林权登记成果更新数据入库汇交</w:t>
      </w:r>
      <w:bookmarkEnd w:id="152"/>
      <w:r>
        <w:rPr>
          <w:rFonts w:hint="eastAsia" w:ascii="仿宋" w:hAnsi="仿宋" w:cs="仿宋"/>
          <w:kern w:val="0"/>
          <w:szCs w:val="21"/>
        </w:rPr>
        <w:t>，属于</w:t>
      </w:r>
      <w:r>
        <w:rPr>
          <w:rFonts w:hint="eastAsia" w:ascii="仿宋" w:hAnsi="仿宋" w:cs="仿宋"/>
          <w:i/>
          <w:iCs/>
          <w:kern w:val="0"/>
          <w:szCs w:val="21"/>
          <w:u w:val="single"/>
        </w:rPr>
        <w:t>其他未列明行业</w:t>
      </w:r>
      <w:r>
        <w:rPr>
          <w:rFonts w:hint="eastAsia" w:ascii="仿宋" w:hAnsi="仿宋" w:cs="仿宋"/>
          <w:kern w:val="0"/>
          <w:szCs w:val="21"/>
        </w:rPr>
        <w:t>；承建（承接）企业为</w:t>
      </w:r>
      <w:r>
        <w:rPr>
          <w:rFonts w:hint="eastAsia" w:ascii="仿宋" w:hAnsi="仿宋" w:cs="仿宋"/>
          <w:i/>
          <w:iCs/>
          <w:kern w:val="0"/>
          <w:szCs w:val="21"/>
          <w:u w:val="single"/>
        </w:rPr>
        <w:t>（企业名称）</w:t>
      </w:r>
      <w:r>
        <w:rPr>
          <w:rFonts w:hint="eastAsia" w:ascii="仿宋" w:hAnsi="仿宋" w:cs="仿宋"/>
          <w:kern w:val="0"/>
          <w:szCs w:val="21"/>
        </w:rPr>
        <w:t>，从业人员</w:t>
      </w:r>
      <w:bookmarkStart w:id="153" w:name="_Hlk120112914"/>
      <w:r>
        <w:rPr>
          <w:kern w:val="0"/>
          <w:szCs w:val="21"/>
          <w:u w:val="single"/>
        </w:rPr>
        <w:t>     </w:t>
      </w:r>
      <w:bookmarkEnd w:id="153"/>
      <w:r>
        <w:rPr>
          <w:rFonts w:hint="eastAsia" w:ascii="仿宋" w:hAnsi="仿宋" w:cs="仿宋"/>
          <w:kern w:val="0"/>
          <w:szCs w:val="21"/>
        </w:rPr>
        <w:t>人，营业收入为</w:t>
      </w:r>
      <w:r>
        <w:rPr>
          <w:kern w:val="0"/>
          <w:szCs w:val="21"/>
          <w:u w:val="single"/>
        </w:rPr>
        <w:t>     </w:t>
      </w:r>
      <w:r>
        <w:rPr>
          <w:rFonts w:hint="eastAsia" w:ascii="仿宋" w:hAnsi="仿宋" w:cs="仿宋"/>
          <w:kern w:val="0"/>
          <w:szCs w:val="21"/>
        </w:rPr>
        <w:t>万元，资产总额为</w:t>
      </w:r>
      <w:r>
        <w:rPr>
          <w:kern w:val="0"/>
          <w:szCs w:val="21"/>
        </w:rPr>
        <w:t> </w:t>
      </w:r>
      <w:r>
        <w:rPr>
          <w:kern w:val="0"/>
          <w:szCs w:val="21"/>
          <w:u w:val="single"/>
        </w:rPr>
        <w:t>     </w:t>
      </w:r>
      <w:r>
        <w:rPr>
          <w:rFonts w:hint="eastAsia" w:ascii="仿宋" w:hAnsi="仿宋" w:cs="仿宋"/>
          <w:kern w:val="0"/>
          <w:szCs w:val="21"/>
        </w:rPr>
        <w:t>万元</w:t>
      </w:r>
      <w:r>
        <w:rPr>
          <w:rFonts w:hint="eastAsia" w:ascii="仿宋" w:hAnsi="仿宋" w:cs="仿宋"/>
          <w:kern w:val="0"/>
          <w:szCs w:val="21"/>
          <w:vertAlign w:val="superscript"/>
        </w:rPr>
        <w:t>1</w:t>
      </w:r>
      <w:r>
        <w:rPr>
          <w:rFonts w:hint="eastAsia" w:ascii="仿宋" w:hAnsi="仿宋" w:cs="仿宋"/>
          <w:kern w:val="0"/>
          <w:szCs w:val="21"/>
        </w:rPr>
        <w:t>，属于</w:t>
      </w:r>
      <w:r>
        <w:rPr>
          <w:rFonts w:hint="eastAsia" w:ascii="仿宋" w:hAnsi="仿宋" w:cs="仿宋"/>
          <w:i/>
          <w:iCs/>
          <w:kern w:val="0"/>
          <w:szCs w:val="21"/>
          <w:u w:val="single"/>
        </w:rPr>
        <w:t>（中型企业、小型企业、微型企业）</w:t>
      </w:r>
      <w:r>
        <w:rPr>
          <w:rFonts w:hint="eastAsia" w:ascii="仿宋" w:hAnsi="仿宋" w:cs="仿宋"/>
          <w:kern w:val="0"/>
          <w:szCs w:val="21"/>
        </w:rPr>
        <w:t>；</w:t>
      </w:r>
    </w:p>
    <w:p>
      <w:pPr>
        <w:widowControl/>
        <w:spacing w:line="360" w:lineRule="auto"/>
        <w:jc w:val="left"/>
        <w:rPr>
          <w:rFonts w:ascii="仿宋" w:hAnsi="仿宋" w:cs="仿宋"/>
          <w:kern w:val="0"/>
          <w:szCs w:val="21"/>
        </w:rPr>
      </w:pPr>
      <w:r>
        <w:rPr>
          <w:kern w:val="0"/>
          <w:szCs w:val="21"/>
        </w:rPr>
        <w:t> </w:t>
      </w:r>
      <w:r>
        <w:rPr>
          <w:rFonts w:hint="eastAsia" w:ascii="仿宋" w:hAnsi="仿宋" w:cs="仿宋"/>
          <w:kern w:val="0"/>
          <w:szCs w:val="21"/>
        </w:rPr>
        <w:t xml:space="preserve"> </w:t>
      </w:r>
    </w:p>
    <w:p>
      <w:pPr>
        <w:widowControl/>
        <w:spacing w:line="360" w:lineRule="auto"/>
        <w:jc w:val="left"/>
        <w:rPr>
          <w:rFonts w:ascii="仿宋" w:hAnsi="仿宋" w:cs="仿宋"/>
          <w:kern w:val="0"/>
          <w:szCs w:val="21"/>
        </w:rPr>
      </w:pPr>
      <w:r>
        <w:rPr>
          <w:kern w:val="0"/>
          <w:szCs w:val="21"/>
        </w:rPr>
        <w:t> </w:t>
      </w:r>
      <w:r>
        <w:rPr>
          <w:rFonts w:hint="eastAsia" w:ascii="仿宋" w:hAnsi="仿宋" w:cs="仿宋"/>
          <w:kern w:val="0"/>
          <w:szCs w:val="21"/>
        </w:rPr>
        <w:t xml:space="preserve"> </w:t>
      </w:r>
      <w:r>
        <w:rPr>
          <w:kern w:val="0"/>
          <w:szCs w:val="21"/>
        </w:rPr>
        <w:t> </w:t>
      </w:r>
      <w:r>
        <w:rPr>
          <w:rFonts w:hint="eastAsia" w:ascii="仿宋" w:hAnsi="仿宋" w:cs="仿宋"/>
          <w:kern w:val="0"/>
          <w:szCs w:val="21"/>
        </w:rPr>
        <w:t xml:space="preserve"> </w:t>
      </w:r>
      <w:r>
        <w:rPr>
          <w:kern w:val="0"/>
          <w:szCs w:val="21"/>
        </w:rPr>
        <w:t> </w:t>
      </w:r>
      <w:r>
        <w:rPr>
          <w:rFonts w:hint="eastAsia" w:ascii="仿宋" w:hAnsi="仿宋" w:cs="仿宋"/>
          <w:kern w:val="0"/>
          <w:szCs w:val="21"/>
        </w:rPr>
        <w:t>以上企业，不属于大企业的分支机构，不存在控股股东为大企业的情形，也不存在与大企业的负责人为同一人的情形。</w:t>
      </w:r>
    </w:p>
    <w:p>
      <w:pPr>
        <w:widowControl/>
        <w:spacing w:line="360" w:lineRule="auto"/>
        <w:jc w:val="left"/>
        <w:rPr>
          <w:rFonts w:ascii="仿宋" w:hAnsi="仿宋" w:cs="仿宋"/>
          <w:kern w:val="0"/>
          <w:szCs w:val="21"/>
        </w:rPr>
      </w:pPr>
      <w:r>
        <w:rPr>
          <w:rFonts w:hint="eastAsia" w:ascii="仿宋" w:hAnsi="仿宋" w:cs="仿宋"/>
          <w:kern w:val="0"/>
          <w:szCs w:val="21"/>
        </w:rPr>
        <w:t>本企业对上述声明内容的真实性负责。如有虚假，将依</w:t>
      </w:r>
      <w:r>
        <w:rPr>
          <w:kern w:val="0"/>
          <w:szCs w:val="21"/>
        </w:rPr>
        <w:t> </w:t>
      </w:r>
      <w:r>
        <w:rPr>
          <w:rFonts w:hint="eastAsia" w:ascii="仿宋" w:hAnsi="仿宋" w:cs="仿宋"/>
          <w:kern w:val="0"/>
          <w:szCs w:val="21"/>
        </w:rPr>
        <w:t>法承担相应责任。</w:t>
      </w:r>
    </w:p>
    <w:p>
      <w:pPr>
        <w:widowControl/>
        <w:spacing w:line="360" w:lineRule="auto"/>
        <w:jc w:val="left"/>
        <w:rPr>
          <w:rFonts w:ascii="仿宋" w:hAnsi="仿宋" w:cs="仿宋"/>
          <w:kern w:val="0"/>
          <w:szCs w:val="21"/>
        </w:rPr>
      </w:pPr>
      <w:r>
        <w:rPr>
          <w:kern w:val="0"/>
          <w:szCs w:val="21"/>
        </w:rPr>
        <w:t> </w:t>
      </w:r>
    </w:p>
    <w:p>
      <w:pPr>
        <w:widowControl/>
        <w:spacing w:line="360" w:lineRule="auto"/>
        <w:jc w:val="left"/>
        <w:rPr>
          <w:rFonts w:ascii="仿宋" w:hAnsi="仿宋" w:cs="仿宋"/>
          <w:kern w:val="0"/>
          <w:szCs w:val="21"/>
        </w:rPr>
      </w:pPr>
    </w:p>
    <w:p>
      <w:pPr>
        <w:widowControl/>
        <w:spacing w:line="360" w:lineRule="auto"/>
        <w:jc w:val="left"/>
        <w:rPr>
          <w:rFonts w:ascii="仿宋" w:hAnsi="仿宋" w:cs="仿宋"/>
          <w:kern w:val="0"/>
          <w:szCs w:val="21"/>
        </w:rPr>
      </w:pPr>
      <w:r>
        <w:rPr>
          <w:rFonts w:hint="eastAsia" w:ascii="仿宋" w:hAnsi="仿宋" w:cs="仿宋"/>
          <w:kern w:val="0"/>
          <w:szCs w:val="21"/>
        </w:rPr>
        <w:t>企业名称（盖章）：</w:t>
      </w:r>
    </w:p>
    <w:p>
      <w:pPr>
        <w:widowControl/>
        <w:spacing w:line="360" w:lineRule="auto"/>
        <w:jc w:val="left"/>
        <w:rPr>
          <w:rFonts w:hint="eastAsia" w:ascii="仿宋" w:hAnsi="仿宋" w:cs="仿宋"/>
          <w:kern w:val="0"/>
          <w:szCs w:val="21"/>
        </w:rPr>
      </w:pPr>
    </w:p>
    <w:p>
      <w:pPr>
        <w:widowControl/>
        <w:spacing w:line="360" w:lineRule="auto"/>
        <w:jc w:val="left"/>
        <w:rPr>
          <w:rFonts w:ascii="仿宋" w:hAnsi="仿宋" w:cs="仿宋"/>
          <w:kern w:val="0"/>
          <w:szCs w:val="21"/>
        </w:rPr>
      </w:pPr>
      <w:r>
        <w:rPr>
          <w:rFonts w:hint="eastAsia" w:ascii="仿宋" w:hAnsi="仿宋" w:cs="仿宋"/>
          <w:kern w:val="0"/>
          <w:szCs w:val="21"/>
        </w:rPr>
        <w:t>日</w:t>
      </w:r>
      <w:r>
        <w:rPr>
          <w:kern w:val="0"/>
          <w:szCs w:val="21"/>
        </w:rPr>
        <w:t> </w:t>
      </w:r>
      <w:r>
        <w:rPr>
          <w:rFonts w:hint="eastAsia" w:ascii="仿宋" w:hAnsi="仿宋" w:cs="仿宋"/>
          <w:kern w:val="0"/>
          <w:szCs w:val="21"/>
        </w:rPr>
        <w:t>期：</w:t>
      </w:r>
    </w:p>
    <w:p>
      <w:pPr>
        <w:widowControl/>
        <w:spacing w:line="360" w:lineRule="auto"/>
        <w:jc w:val="left"/>
        <w:rPr>
          <w:rFonts w:ascii="仿宋" w:hAnsi="仿宋" w:cs="仿宋"/>
          <w:kern w:val="0"/>
          <w:szCs w:val="21"/>
        </w:rPr>
      </w:pPr>
    </w:p>
    <w:p>
      <w:pPr>
        <w:widowControl/>
        <w:spacing w:line="360" w:lineRule="auto"/>
        <w:jc w:val="left"/>
        <w:rPr>
          <w:rFonts w:hint="eastAsia" w:ascii="仿宋" w:hAnsi="仿宋" w:cs="仿宋"/>
          <w:kern w:val="0"/>
          <w:szCs w:val="21"/>
        </w:rPr>
      </w:pPr>
    </w:p>
    <w:p>
      <w:pPr>
        <w:widowControl/>
        <w:spacing w:line="360" w:lineRule="auto"/>
        <w:jc w:val="left"/>
        <w:rPr>
          <w:rFonts w:ascii="仿宋" w:hAnsi="仿宋" w:cs="仿宋"/>
          <w:kern w:val="0"/>
          <w:szCs w:val="21"/>
        </w:rPr>
      </w:pPr>
      <w:r>
        <w:rPr>
          <w:kern w:val="0"/>
          <w:szCs w:val="21"/>
          <w:u w:val="single"/>
        </w:rPr>
        <w:t xml:space="preserve">                                                                              </w:t>
      </w:r>
    </w:p>
    <w:p>
      <w:pPr>
        <w:widowControl/>
        <w:wordWrap w:val="0"/>
        <w:jc w:val="left"/>
        <w:rPr>
          <w:rFonts w:ascii="仿宋" w:hAnsi="仿宋" w:cs="宋体"/>
          <w:color w:val="333333"/>
          <w:kern w:val="0"/>
          <w:sz w:val="18"/>
          <w:szCs w:val="18"/>
        </w:rPr>
      </w:pPr>
      <w:r>
        <w:rPr>
          <w:rFonts w:hint="eastAsia" w:ascii="仿宋" w:hAnsi="仿宋" w:cs="宋体"/>
          <w:color w:val="333333"/>
          <w:kern w:val="0"/>
          <w:sz w:val="18"/>
          <w:szCs w:val="18"/>
          <w:vertAlign w:val="superscript"/>
        </w:rPr>
        <w:t>1</w:t>
      </w:r>
      <w:r>
        <w:rPr>
          <w:rFonts w:hint="eastAsia" w:ascii="仿宋" w:hAnsi="仿宋" w:cs="宋体"/>
          <w:color w:val="333333"/>
          <w:kern w:val="0"/>
          <w:sz w:val="18"/>
          <w:szCs w:val="18"/>
        </w:rPr>
        <w:t>从业人员、营业收入、资产总额填报上一年度数据，无上一年度数据的新成立企业可不填报。</w:t>
      </w:r>
    </w:p>
    <w:p>
      <w:pPr>
        <w:widowControl/>
        <w:wordWrap w:val="0"/>
        <w:jc w:val="left"/>
        <w:rPr>
          <w:rFonts w:ascii="仿宋" w:hAnsi="仿宋" w:cs="宋体"/>
          <w:b/>
          <w:bCs/>
          <w:kern w:val="0"/>
          <w:sz w:val="18"/>
          <w:szCs w:val="18"/>
        </w:rPr>
      </w:pPr>
      <w:bookmarkStart w:id="154" w:name="_Hlk67995156"/>
      <w:r>
        <w:rPr>
          <w:rFonts w:hint="eastAsia" w:ascii="仿宋" w:hAnsi="仿宋" w:cs="宋体"/>
          <w:b/>
          <w:bCs/>
          <w:kern w:val="0"/>
          <w:sz w:val="18"/>
          <w:szCs w:val="18"/>
        </w:rPr>
        <w:t>本包组标的名称为：</w:t>
      </w:r>
      <w:bookmarkStart w:id="155" w:name="_Hlk120112861"/>
      <w:r>
        <w:rPr>
          <w:rFonts w:hint="eastAsia" w:ascii="仿宋" w:hAnsi="仿宋" w:cs="宋体"/>
          <w:b/>
          <w:bCs/>
          <w:kern w:val="0"/>
          <w:sz w:val="18"/>
          <w:szCs w:val="18"/>
        </w:rPr>
        <w:t>铁岭县集体土地所有权确权登记更新成果、集体建设用地使用权成果入库汇交和林业林权登记成果更新数据入库汇交。</w:t>
      </w:r>
      <w:bookmarkEnd w:id="155"/>
    </w:p>
    <w:p>
      <w:pPr>
        <w:widowControl/>
        <w:wordWrap w:val="0"/>
        <w:jc w:val="left"/>
        <w:rPr>
          <w:rFonts w:ascii="仿宋" w:hAnsi="仿宋" w:cs="宋体"/>
          <w:b/>
          <w:bCs/>
          <w:kern w:val="0"/>
          <w:sz w:val="18"/>
          <w:szCs w:val="18"/>
        </w:rPr>
      </w:pPr>
      <w:r>
        <w:rPr>
          <w:rFonts w:hint="eastAsia" w:ascii="仿宋" w:hAnsi="仿宋" w:cs="宋体"/>
          <w:b/>
          <w:bCs/>
          <w:kern w:val="0"/>
          <w:sz w:val="18"/>
          <w:szCs w:val="18"/>
        </w:rPr>
        <w:t>本项目对应的中小企业划分标准所属行业为：</w:t>
      </w:r>
      <w:bookmarkStart w:id="156" w:name="_Hlk120112886"/>
      <w:r>
        <w:rPr>
          <w:rFonts w:hint="eastAsia" w:ascii="仿宋" w:hAnsi="仿宋" w:cs="宋体"/>
          <w:b/>
          <w:bCs/>
          <w:kern w:val="0"/>
          <w:sz w:val="18"/>
          <w:szCs w:val="18"/>
        </w:rPr>
        <w:t>其他未列明行业</w:t>
      </w:r>
      <w:bookmarkEnd w:id="156"/>
      <w:r>
        <w:rPr>
          <w:rFonts w:hint="eastAsia" w:ascii="仿宋" w:hAnsi="仿宋" w:cs="宋体"/>
          <w:b/>
          <w:bCs/>
          <w:kern w:val="0"/>
          <w:sz w:val="18"/>
          <w:szCs w:val="18"/>
        </w:rPr>
        <w:t>。</w:t>
      </w:r>
    </w:p>
    <w:bookmarkEnd w:id="154"/>
    <w:p>
      <w:pPr>
        <w:widowControl/>
        <w:wordWrap w:val="0"/>
        <w:jc w:val="left"/>
        <w:rPr>
          <w:rFonts w:ascii="仿宋" w:hAnsi="仿宋" w:cs="宋体"/>
          <w:kern w:val="0"/>
          <w:sz w:val="18"/>
          <w:szCs w:val="18"/>
        </w:rPr>
      </w:pPr>
      <w:r>
        <w:rPr>
          <w:rFonts w:hint="eastAsia" w:ascii="仿宋" w:hAnsi="仿宋" w:cs="宋体"/>
          <w:kern w:val="0"/>
          <w:sz w:val="18"/>
          <w:szCs w:val="18"/>
        </w:rPr>
        <w:t>本声明适用于供应商符合《工业和信息化部、国家统计局、国家发展和改革委员会、财政部关于印发中小企业划型标准规定的通知》（工信部联企业〔2011〕300号）规定划分标准的中小企业。</w:t>
      </w:r>
    </w:p>
    <w:p>
      <w:pPr>
        <w:snapToGrid w:val="0"/>
        <w:spacing w:line="480" w:lineRule="auto"/>
        <w:rPr>
          <w:rFonts w:ascii="仿宋_GB2312" w:hAnsi="仿宋_GB2312" w:eastAsia="仿宋_GB2312" w:cs="仿宋_GB2312"/>
          <w:szCs w:val="28"/>
        </w:rPr>
      </w:pPr>
      <w:r>
        <w:rPr>
          <w:rFonts w:hint="eastAsia" w:ascii="仿宋_GB2312" w:hAnsi="仿宋_GB2312" w:eastAsia="仿宋_GB2312" w:cs="仿宋_GB2312"/>
          <w:szCs w:val="28"/>
        </w:rPr>
        <w:br w:type="page"/>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格式18</w:t>
      </w:r>
    </w:p>
    <w:p>
      <w:pPr>
        <w:adjustRightInd w:val="0"/>
        <w:snapToGrid w:val="0"/>
        <w:spacing w:before="319" w:beforeLines="100" w:after="319" w:afterLines="100" w:line="360" w:lineRule="auto"/>
        <w:ind w:right="105" w:rightChars="50"/>
        <w:jc w:val="center"/>
        <w:rPr>
          <w:rFonts w:ascii="仿宋_GB2312" w:hAnsi="仿宋_GB2312" w:eastAsia="仿宋_GB2312" w:cs="仿宋_GB2312"/>
          <w:b/>
          <w:bCs/>
          <w:sz w:val="32"/>
          <w:szCs w:val="32"/>
        </w:rPr>
      </w:pPr>
      <w:bookmarkStart w:id="157" w:name="_Toc13566_WPSOffice_Level2"/>
      <w:bookmarkStart w:id="158" w:name="_Toc29880_WPSOffice_Level2"/>
      <w:r>
        <w:rPr>
          <w:rFonts w:hint="eastAsia" w:ascii="仿宋_GB2312" w:hAnsi="仿宋_GB2312" w:eastAsia="仿宋_GB2312" w:cs="仿宋_GB2312"/>
          <w:b/>
          <w:bCs/>
          <w:sz w:val="32"/>
          <w:szCs w:val="32"/>
        </w:rPr>
        <w:t>残疾人福利性单位声明函</w:t>
      </w:r>
      <w:bookmarkEnd w:id="157"/>
      <w:bookmarkEnd w:id="158"/>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本单位郑重声明，根据《财政部 民政部 中国残疾人联合会关于促进残疾人就业政府采购政策的通知》（财库〔2017〕141 号）的规定，本单位为符合条件的残疾人福利性单位，且本单位参加</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单位的</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项目采购活动，提供本单位制造的货物（由本单位承担工程/提供服务），或者提供其他残疾人福利性单位制造的货物（不包括使用非残疾人福利性单位注册商标的货物）。</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本单位对上述声明的真实性负责。如有虚假，将依法承担相应责任。</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注：供应商为非残疾人福利性单位的，无需填写此声明函。</w:t>
      </w:r>
    </w:p>
    <w:p>
      <w:pPr>
        <w:adjustRightInd w:val="0"/>
        <w:snapToGrid w:val="0"/>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 xml:space="preserve">  </w:t>
      </w: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480" w:lineRule="auto"/>
        <w:ind w:right="105" w:rightChars="50"/>
        <w:jc w:val="left"/>
        <w:rPr>
          <w:rFonts w:ascii="仿宋_GB2312" w:hAnsi="仿宋_GB2312" w:eastAsia="仿宋_GB2312" w:cs="仿宋_GB2312"/>
          <w:szCs w:val="21"/>
        </w:rPr>
      </w:pPr>
      <w:r>
        <w:rPr>
          <w:rFonts w:hint="eastAsia" w:ascii="仿宋_GB2312" w:hAnsi="仿宋_GB2312" w:eastAsia="仿宋_GB2312" w:cs="仿宋_GB2312"/>
          <w:szCs w:val="21"/>
        </w:rPr>
        <w:t>投标人名称（加盖单位公章）：</w:t>
      </w:r>
      <w:r>
        <w:rPr>
          <w:rFonts w:hint="eastAsia" w:ascii="仿宋_GB2312" w:hAnsi="仿宋_GB2312" w:eastAsia="仿宋_GB2312" w:cs="仿宋_GB2312"/>
          <w:szCs w:val="21"/>
          <w:u w:val="single"/>
        </w:rPr>
        <w:t xml:space="preserve">              </w:t>
      </w:r>
    </w:p>
    <w:p>
      <w:pPr>
        <w:adjustRightInd w:val="0"/>
        <w:snapToGrid w:val="0"/>
        <w:spacing w:line="480" w:lineRule="auto"/>
        <w:ind w:right="105" w:rightChars="50"/>
        <w:jc w:val="left"/>
        <w:rPr>
          <w:rFonts w:ascii="仿宋_GB2312" w:hAnsi="仿宋_GB2312" w:eastAsia="仿宋_GB2312" w:cs="仿宋_GB2312"/>
          <w:szCs w:val="21"/>
          <w:u w:val="single"/>
        </w:rPr>
      </w:pPr>
      <w:r>
        <w:rPr>
          <w:rFonts w:hint="eastAsia" w:ascii="仿宋_GB2312" w:hAnsi="仿宋_GB2312" w:eastAsia="仿宋_GB2312" w:cs="仿宋_GB2312"/>
          <w:szCs w:val="21"/>
        </w:rPr>
        <w:t>日 期：</w:t>
      </w:r>
      <w:r>
        <w:rPr>
          <w:rFonts w:hint="eastAsia" w:ascii="仿宋_GB2312" w:hAnsi="仿宋_GB2312" w:eastAsia="仿宋_GB2312" w:cs="仿宋_GB2312"/>
          <w:szCs w:val="21"/>
          <w:u w:val="single"/>
        </w:rPr>
        <w:t xml:space="preserve">              </w:t>
      </w:r>
    </w:p>
    <w:p>
      <w:pPr>
        <w:widowControl/>
        <w:jc w:val="left"/>
        <w:rPr>
          <w:rFonts w:ascii="仿宋_GB2312" w:hAnsi="仿宋_GB2312" w:eastAsia="仿宋_GB2312" w:cs="仿宋_GB2312"/>
          <w:b/>
          <w:kern w:val="44"/>
          <w:sz w:val="44"/>
        </w:rPr>
      </w:pPr>
      <w:r>
        <w:rPr>
          <w:rFonts w:hint="eastAsia" w:ascii="仿宋_GB2312" w:hAnsi="仿宋_GB2312" w:eastAsia="仿宋_GB2312" w:cs="仿宋_GB2312"/>
        </w:rPr>
        <w:br w:type="page"/>
      </w:r>
    </w:p>
    <w:p>
      <w:pPr>
        <w:pStyle w:val="2"/>
        <w:snapToGrid w:val="0"/>
        <w:spacing w:before="319" w:beforeLines="100" w:after="319" w:afterLines="100" w:line="360" w:lineRule="auto"/>
        <w:rPr>
          <w:rFonts w:ascii="仿宋_GB2312" w:hAnsi="仿宋_GB2312" w:eastAsia="仿宋_GB2312" w:cs="仿宋_GB2312"/>
        </w:rPr>
      </w:pPr>
      <w:bookmarkStart w:id="159" w:name="_Toc30110"/>
      <w:bookmarkStart w:id="160" w:name="_Toc4498_WPSOffice_Level1"/>
      <w:bookmarkStart w:id="161" w:name="_Toc11327"/>
      <w:bookmarkStart w:id="162" w:name="_Toc2821_WPSOffice_Level1"/>
      <w:r>
        <w:rPr>
          <w:rFonts w:hint="eastAsia" w:ascii="仿宋_GB2312" w:hAnsi="仿宋_GB2312" w:eastAsia="仿宋_GB2312" w:cs="仿宋_GB2312"/>
        </w:rPr>
        <w:t>第三章 服务需求</w:t>
      </w:r>
      <w:bookmarkEnd w:id="159"/>
      <w:bookmarkEnd w:id="160"/>
      <w:bookmarkEnd w:id="161"/>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一、履约期限：以中标供应商与采购人签订合同为准</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二、履约地点：采购人指定地点</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三、付款方式：</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1</w:t>
      </w:r>
      <w:r>
        <w:rPr>
          <w:rFonts w:ascii="仿宋_GB2312" w:hAnsi="仿宋_GB2312" w:eastAsia="仿宋_GB2312" w:cs="仿宋_GB2312"/>
          <w:szCs w:val="21"/>
        </w:rPr>
        <w:t>.</w:t>
      </w:r>
      <w:r>
        <w:rPr>
          <w:rFonts w:hint="eastAsia" w:ascii="仿宋_GB2312" w:hAnsi="仿宋_GB2312" w:eastAsia="仿宋_GB2312" w:cs="仿宋_GB2312"/>
          <w:szCs w:val="21"/>
        </w:rPr>
        <w:t>合同生效之日起</w:t>
      </w:r>
      <w:r>
        <w:rPr>
          <w:rFonts w:ascii="仿宋_GB2312" w:hAnsi="仿宋_GB2312" w:eastAsia="仿宋_GB2312" w:cs="仿宋_GB2312"/>
          <w:szCs w:val="21"/>
        </w:rPr>
        <w:t>1</w:t>
      </w:r>
      <w:r>
        <w:rPr>
          <w:rFonts w:hint="eastAsia" w:ascii="仿宋_GB2312" w:hAnsi="仿宋_GB2312" w:eastAsia="仿宋_GB2312" w:cs="仿宋_GB2312"/>
          <w:szCs w:val="21"/>
        </w:rPr>
        <w:t>0个工作日内，采购人向中标人无息支付合同总金额的30%。</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2</w:t>
      </w:r>
      <w:r>
        <w:rPr>
          <w:rFonts w:ascii="仿宋_GB2312" w:hAnsi="仿宋_GB2312" w:eastAsia="仿宋_GB2312" w:cs="仿宋_GB2312"/>
          <w:szCs w:val="21"/>
        </w:rPr>
        <w:t>.</w:t>
      </w:r>
      <w:r>
        <w:rPr>
          <w:rFonts w:hint="eastAsia" w:ascii="仿宋_GB2312" w:hAnsi="仿宋_GB2312" w:eastAsia="仿宋_GB2312" w:cs="仿宋_GB2312"/>
          <w:szCs w:val="21"/>
        </w:rPr>
        <w:t>项目成果通过不动产汇交后，</w:t>
      </w:r>
      <w:r>
        <w:rPr>
          <w:rFonts w:ascii="仿宋_GB2312" w:hAnsi="仿宋_GB2312" w:eastAsia="仿宋_GB2312" w:cs="仿宋_GB2312"/>
          <w:szCs w:val="21"/>
        </w:rPr>
        <w:t>1</w:t>
      </w:r>
      <w:r>
        <w:rPr>
          <w:rFonts w:hint="eastAsia" w:ascii="仿宋_GB2312" w:hAnsi="仿宋_GB2312" w:eastAsia="仿宋_GB2312" w:cs="仿宋_GB2312"/>
          <w:szCs w:val="21"/>
        </w:rPr>
        <w:t>0个工作日内，采购人向中标人无息支付项目总价款的</w:t>
      </w:r>
      <w:r>
        <w:rPr>
          <w:rFonts w:ascii="仿宋_GB2312" w:hAnsi="仿宋_GB2312" w:eastAsia="仿宋_GB2312" w:cs="仿宋_GB2312"/>
          <w:szCs w:val="21"/>
        </w:rPr>
        <w:t>3</w:t>
      </w:r>
      <w:r>
        <w:rPr>
          <w:rFonts w:hint="eastAsia" w:ascii="仿宋_GB2312" w:hAnsi="仿宋_GB2312" w:eastAsia="仿宋_GB2312" w:cs="仿宋_GB2312"/>
          <w:szCs w:val="21"/>
        </w:rPr>
        <w:t>0%。</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3</w:t>
      </w:r>
      <w:r>
        <w:rPr>
          <w:rFonts w:ascii="仿宋_GB2312" w:hAnsi="仿宋_GB2312" w:eastAsia="仿宋_GB2312" w:cs="仿宋_GB2312"/>
          <w:szCs w:val="21"/>
        </w:rPr>
        <w:t>.</w:t>
      </w:r>
      <w:r>
        <w:rPr>
          <w:rFonts w:hint="eastAsia" w:ascii="仿宋_GB2312" w:hAnsi="仿宋_GB2312" w:eastAsia="仿宋_GB2312" w:cs="仿宋_GB2312"/>
          <w:szCs w:val="21"/>
        </w:rPr>
        <w:t>项目通过验收后，</w:t>
      </w:r>
      <w:r>
        <w:rPr>
          <w:rFonts w:ascii="仿宋_GB2312" w:hAnsi="仿宋_GB2312" w:eastAsia="仿宋_GB2312" w:cs="仿宋_GB2312"/>
          <w:szCs w:val="21"/>
        </w:rPr>
        <w:t>1</w:t>
      </w:r>
      <w:r>
        <w:rPr>
          <w:rFonts w:hint="eastAsia" w:ascii="仿宋_GB2312" w:hAnsi="仿宋_GB2312" w:eastAsia="仿宋_GB2312" w:cs="仿宋_GB2312"/>
          <w:szCs w:val="21"/>
        </w:rPr>
        <w:t>0个工作日内，采购人向中标人无息支付项目总价款的</w:t>
      </w:r>
      <w:r>
        <w:rPr>
          <w:rFonts w:ascii="仿宋_GB2312" w:hAnsi="仿宋_GB2312" w:eastAsia="仿宋_GB2312" w:cs="仿宋_GB2312"/>
          <w:szCs w:val="21"/>
        </w:rPr>
        <w:t>4</w:t>
      </w:r>
      <w:r>
        <w:rPr>
          <w:rFonts w:hint="eastAsia" w:ascii="仿宋_GB2312" w:hAnsi="仿宋_GB2312" w:eastAsia="仿宋_GB2312" w:cs="仿宋_GB2312"/>
          <w:szCs w:val="21"/>
        </w:rPr>
        <w:t>0%。</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四、验收标准：采购人按照《辽宁省政府采购履约验收管理办法》的规定进行验收。</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五、服务内容：</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（一）工作目标</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为贯彻落实自然资源部《自然资源部关于加快完成集体土地所有权确权登记成果更新汇交的通知（2022）19号》、辽宁省自然资源厅《关于汇交农村确权登记成果的通知》和自然资源部办公厅 国家林业和草原局办公室《关于强化业务协同加快推进林权登记资料移交数据整合和信息共享的通知（自然资办发〔2023〕2号）》的文件要求，铁岭县需开展全县域内集体土地所有权确权登记成果更新汇交工作和集体建设用地使用权登记、林权登记存量数据成果的整合汇交工作。</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本项工作范围为铁岭县全域</w:t>
      </w:r>
      <w:r>
        <w:rPr>
          <w:rFonts w:ascii="仿宋_GB2312" w:hAnsi="仿宋_GB2312" w:eastAsia="仿宋_GB2312" w:cs="仿宋_GB2312"/>
          <w:szCs w:val="21"/>
        </w:rPr>
        <w:t>2262</w:t>
      </w:r>
      <w:r>
        <w:rPr>
          <w:rFonts w:hint="eastAsia" w:ascii="仿宋_GB2312" w:hAnsi="仿宋_GB2312" w:eastAsia="仿宋_GB2312" w:cs="仿宋_GB2312"/>
          <w:szCs w:val="21"/>
        </w:rPr>
        <w:t>平方公里，将充分利用现有集体土地所有权、集体建设用地使用权和林权的确权登记成果，采取“内业为主，外业为辅”的作业方式，依法依规开展更新整合，最终形成铁岭县集体土地所有权确权登记成果更新汇交包和集体建设用地使用权、林权登记存量数据汇交包。</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（二）工作内容</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1</w:t>
      </w:r>
      <w:r>
        <w:rPr>
          <w:rFonts w:ascii="仿宋_GB2312" w:hAnsi="仿宋_GB2312" w:eastAsia="仿宋_GB2312" w:cs="仿宋_GB2312"/>
          <w:szCs w:val="21"/>
        </w:rPr>
        <w:t>.</w:t>
      </w:r>
      <w:r>
        <w:rPr>
          <w:rFonts w:hint="eastAsia" w:ascii="仿宋_GB2312" w:hAnsi="仿宋_GB2312" w:eastAsia="仿宋_GB2312" w:cs="仿宋_GB2312"/>
          <w:szCs w:val="21"/>
        </w:rPr>
        <w:t>集体土地所有权确权登记成果更新汇交工作</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铁岭县存在由土地征收、农民集体变化等原因导致集体土地所有权变化，未办理相应注销、变更等登记手续，未及时更新登记成果的情况。为依法维护农民土地权益，支撑集体经营性建设用地入市等自然资源改革工作，我县将开展集体土地所有权确权登记成果更新汇交工作。具体工作内容包括已有集体土地所有权确权登记成果入库、更新和成果汇交三大部分内容：</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（1）资料收集</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收集电子数据和纸质资料,内容包括但不限于:</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①集体土地所有权确权登记成果；</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②历年土地征收审批、划拨和出让等批准文件；</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③互换土地的协议或土地调整文件、本集体经济组织成员的村民会议三分之二以上成员或者三分之二以上村民代表同意的材料、有关批准文件及不动产权属证书；</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④农民集体合并或撤销、行政区划调整等导致集体土地所有权、农民集体名称或代码发生变化的相关材料；</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⑤土地权属争议调解书；</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⑥历年自然资源统一确权登记成果资料；</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⑦最新行政区划及地籍（子）区数据；</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⑧最新国土变更调查成果及历年高分辨率正射遥感影像图等。</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（2）数据分析</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①整理已有电子数据、纸质资料。</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②根据已有集体土地所有权确权登记成果，核实登记数据的现势状态（未变化、部分变化、灭失）并分类标注，建立集体土地所有权台账。</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③对已登记集体土地所有权成果，核实内容是否完整、空间数据是否缺失、图属是否一致等，形成清单。</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bookmarkStart w:id="163" w:name="_Hlk139977213"/>
      <w:r>
        <w:rPr>
          <w:rFonts w:hint="eastAsia" w:ascii="仿宋_GB2312" w:hAnsi="仿宋_GB2312" w:eastAsia="仿宋_GB2312" w:cs="仿宋_GB2312"/>
          <w:szCs w:val="21"/>
        </w:rPr>
        <w:t>（3）已有登记成果整合入库</w:t>
      </w:r>
    </w:p>
    <w:bookmarkEnd w:id="163"/>
    <w:p>
      <w:pPr>
        <w:adjustRightInd w:val="0"/>
        <w:snapToGrid w:val="0"/>
        <w:spacing w:line="360" w:lineRule="auto"/>
        <w:ind w:right="105" w:rightChars="50" w:firstLine="476" w:firstLineChars="227"/>
        <w:jc w:val="left"/>
        <w:rPr>
          <w:rFonts w:ascii="仿宋_GB2312" w:hAnsi="仿宋_GB2312" w:eastAsia="仿宋_GB2312" w:cs="仿宋_GB2312"/>
          <w:szCs w:val="21"/>
        </w:rPr>
      </w:pPr>
      <w:bookmarkStart w:id="164" w:name="_Hlk139977228"/>
      <w:r>
        <w:rPr>
          <w:rFonts w:hint="eastAsia" w:ascii="仿宋_GB2312" w:hAnsi="仿宋_GB2312" w:eastAsia="仿宋_GB2312" w:cs="仿宋_GB2312"/>
          <w:szCs w:val="21"/>
        </w:rPr>
        <w:t>对已建成集体土地所有权确权登记数据库的，根据《不动产登记数据库标准》（TD/T 1066—2021），经数据转换、补充采集信息、数据整合关联后，纳入不动产登记数据库。</w:t>
      </w:r>
    </w:p>
    <w:bookmarkEnd w:id="164"/>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①登记簿册数据整理</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根据《不动产登记数据库标准》对已有登记成果进行规范化处理，解决以下问题：</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A</w:t>
      </w:r>
      <w:r>
        <w:rPr>
          <w:rFonts w:ascii="仿宋_GB2312" w:hAnsi="仿宋_GB2312" w:eastAsia="仿宋_GB2312" w:cs="仿宋_GB2312"/>
          <w:szCs w:val="21"/>
        </w:rPr>
        <w:t>.</w:t>
      </w:r>
      <w:r>
        <w:rPr>
          <w:rFonts w:hint="eastAsia" w:ascii="仿宋_GB2312" w:hAnsi="仿宋_GB2312" w:eastAsia="仿宋_GB2312" w:cs="仿宋_GB2312"/>
          <w:szCs w:val="21"/>
        </w:rPr>
        <w:t>数据内容与数据库标准内容不一致问题。</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B</w:t>
      </w:r>
      <w:r>
        <w:rPr>
          <w:rFonts w:ascii="仿宋_GB2312" w:hAnsi="仿宋_GB2312" w:eastAsia="仿宋_GB2312" w:cs="仿宋_GB2312"/>
          <w:szCs w:val="21"/>
        </w:rPr>
        <w:t>.</w:t>
      </w:r>
      <w:r>
        <w:rPr>
          <w:rFonts w:hint="eastAsia" w:ascii="仿宋_GB2312" w:hAnsi="仿宋_GB2312" w:eastAsia="仿宋_GB2312" w:cs="仿宋_GB2312"/>
          <w:szCs w:val="21"/>
        </w:rPr>
        <w:t>登记信息语义不一致问题。</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C</w:t>
      </w:r>
      <w:r>
        <w:rPr>
          <w:rFonts w:ascii="仿宋_GB2312" w:hAnsi="仿宋_GB2312" w:eastAsia="仿宋_GB2312" w:cs="仿宋_GB2312"/>
          <w:szCs w:val="21"/>
        </w:rPr>
        <w:t>.</w:t>
      </w:r>
      <w:r>
        <w:rPr>
          <w:rFonts w:hint="eastAsia" w:ascii="仿宋_GB2312" w:hAnsi="仿宋_GB2312" w:eastAsia="仿宋_GB2312" w:cs="仿宋_GB2312"/>
          <w:szCs w:val="21"/>
        </w:rPr>
        <w:t>数据类型、小数点位数和数量单位的标准化处理。</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D</w:t>
      </w:r>
      <w:r>
        <w:rPr>
          <w:rFonts w:ascii="仿宋_GB2312" w:hAnsi="仿宋_GB2312" w:eastAsia="仿宋_GB2312" w:cs="仿宋_GB2312"/>
          <w:szCs w:val="21"/>
        </w:rPr>
        <w:t>.</w:t>
      </w:r>
      <w:r>
        <w:rPr>
          <w:rFonts w:hint="eastAsia" w:ascii="仿宋_GB2312" w:hAnsi="仿宋_GB2312" w:eastAsia="仿宋_GB2312" w:cs="仿宋_GB2312"/>
          <w:szCs w:val="21"/>
        </w:rPr>
        <w:t>对包含多项内容的字段拆分处理。</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E</w:t>
      </w:r>
      <w:r>
        <w:rPr>
          <w:rFonts w:ascii="仿宋_GB2312" w:hAnsi="仿宋_GB2312" w:eastAsia="仿宋_GB2312" w:cs="仿宋_GB2312"/>
          <w:szCs w:val="21"/>
        </w:rPr>
        <w:t>.</w:t>
      </w:r>
      <w:r>
        <w:rPr>
          <w:rFonts w:hint="eastAsia" w:ascii="仿宋_GB2312" w:hAnsi="仿宋_GB2312" w:eastAsia="仿宋_GB2312" w:cs="仿宋_GB2312"/>
          <w:szCs w:val="21"/>
        </w:rPr>
        <w:t>登记数据项逻辑不一致问题，如数据项内容与标准字典表对应不一致，不动产单元代码重复等。</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ascii="仿宋_GB2312" w:hAnsi="仿宋_GB2312" w:eastAsia="仿宋_GB2312" w:cs="仿宋_GB2312"/>
          <w:szCs w:val="21"/>
        </w:rPr>
        <w:t>F.</w:t>
      </w:r>
      <w:r>
        <w:rPr>
          <w:rFonts w:hint="eastAsia" w:ascii="仿宋_GB2312" w:hAnsi="仿宋_GB2312" w:eastAsia="仿宋_GB2312" w:cs="仿宋_GB2312"/>
          <w:szCs w:val="21"/>
        </w:rPr>
        <w:t>关键数据项内容缺失，如缺失权利类型、证件号等。</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②数据清理</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删除错误、冗余数据，理清登记数据的现势或历史状态。</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③空间数据处理</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A</w:t>
      </w:r>
      <w:r>
        <w:rPr>
          <w:rFonts w:ascii="仿宋_GB2312" w:hAnsi="仿宋_GB2312" w:eastAsia="仿宋_GB2312" w:cs="仿宋_GB2312"/>
          <w:szCs w:val="21"/>
        </w:rPr>
        <w:t>.</w:t>
      </w:r>
      <w:r>
        <w:rPr>
          <w:rFonts w:hint="eastAsia" w:ascii="仿宋_GB2312" w:hAnsi="仿宋_GB2312" w:eastAsia="仿宋_GB2312" w:cs="仿宋_GB2312"/>
          <w:szCs w:val="21"/>
        </w:rPr>
        <w:t>对于只有纸质图件的，可在扫描数字化基础上，利用已知控制点或高分辨率正射影像上同名地物点，纠正后进行数字化采集。</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B</w:t>
      </w:r>
      <w:r>
        <w:rPr>
          <w:rFonts w:ascii="仿宋_GB2312" w:hAnsi="仿宋_GB2312" w:eastAsia="仿宋_GB2312" w:cs="仿宋_GB2312"/>
          <w:szCs w:val="21"/>
        </w:rPr>
        <w:t>.</w:t>
      </w:r>
      <w:r>
        <w:rPr>
          <w:rFonts w:hint="eastAsia" w:ascii="仿宋_GB2312" w:hAnsi="仿宋_GB2312" w:eastAsia="仿宋_GB2312" w:cs="仿宋_GB2312"/>
          <w:szCs w:val="21"/>
        </w:rPr>
        <w:t>完成矢量数据坐标转换（地方坐标系统一转换为2000国家大地坐标系）、格式统一、拓扑检查和处理。</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④非空间数据处理</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A</w:t>
      </w:r>
      <w:r>
        <w:rPr>
          <w:rFonts w:ascii="仿宋_GB2312" w:hAnsi="仿宋_GB2312" w:eastAsia="仿宋_GB2312" w:cs="仿宋_GB2312"/>
          <w:szCs w:val="21"/>
        </w:rPr>
        <w:t>.</w:t>
      </w:r>
      <w:r>
        <w:rPr>
          <w:rFonts w:hint="eastAsia" w:ascii="仿宋_GB2312" w:hAnsi="仿宋_GB2312" w:eastAsia="仿宋_GB2312" w:cs="仿宋_GB2312"/>
          <w:szCs w:val="21"/>
        </w:rPr>
        <w:t>对于集体土地所有权确权登记成果未数字化的，应从纸质资料中获取相关信息，逐宗进行信息录入，经整合关联后纳入不动产登记数据库。</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B</w:t>
      </w:r>
      <w:r>
        <w:rPr>
          <w:rFonts w:ascii="仿宋_GB2312" w:hAnsi="仿宋_GB2312" w:eastAsia="仿宋_GB2312" w:cs="仿宋_GB2312"/>
          <w:szCs w:val="21"/>
        </w:rPr>
        <w:t>.</w:t>
      </w:r>
      <w:r>
        <w:rPr>
          <w:rFonts w:hint="eastAsia" w:ascii="仿宋_GB2312" w:hAnsi="仿宋_GB2312" w:eastAsia="仿宋_GB2312" w:cs="仿宋_GB2312"/>
          <w:szCs w:val="21"/>
        </w:rPr>
        <w:t>按照数据库标准等要求，对已有数字化成果进行抽取转换。保证转换前后数据量一致，内容一致，关联关系一致，权属状态一致。</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ascii="仿宋_GB2312" w:hAnsi="仿宋_GB2312" w:eastAsia="仿宋_GB2312" w:cs="仿宋_GB2312"/>
          <w:szCs w:val="21"/>
        </w:rPr>
        <w:t>(</w:t>
      </w:r>
      <w:r>
        <w:rPr>
          <w:rFonts w:hint="eastAsia" w:ascii="仿宋_GB2312" w:hAnsi="仿宋_GB2312" w:eastAsia="仿宋_GB2312" w:cs="仿宋_GB2312"/>
          <w:szCs w:val="21"/>
        </w:rPr>
        <w:t>a</w:t>
      </w:r>
      <w:r>
        <w:rPr>
          <w:rFonts w:ascii="仿宋_GB2312" w:hAnsi="仿宋_GB2312" w:eastAsia="仿宋_GB2312" w:cs="仿宋_GB2312"/>
          <w:szCs w:val="21"/>
        </w:rPr>
        <w:t>)</w:t>
      </w:r>
      <w:r>
        <w:rPr>
          <w:rFonts w:hint="eastAsia" w:ascii="仿宋_GB2312" w:hAnsi="仿宋_GB2312" w:eastAsia="仿宋_GB2312" w:cs="仿宋_GB2312"/>
          <w:szCs w:val="21"/>
        </w:rPr>
        <w:t>属性数据分析。数据结构分析主要理清原集体土地所有权相关登记业务，每种业务所产生数据的逻辑关系，由哪些表组成，每个表存储的是哪些数据等，并整理字典表。</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（b）关联关系分析。理清空间与非空间数据、宗地和权利、权利和登记业务等关联关系。</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（c）编制转换方案。包括转换前后字典对应关系、数据转换语句、数据存在问题、数据质量检查等主要内容。</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（d）数据转换。按照数据转换方案，对数据进行整体转换。</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（e）数据质量检查。按照数据质量检查规则，对整体转换后的数据进行质量检查。</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⑤缺失数据采集</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对登记信息中缺失信息的补录，应通过查找登记资料进行补录。登记簿信息缺失确实无法补录的，用“/”代替。</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⑥数据整合关联</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A</w:t>
      </w:r>
      <w:r>
        <w:rPr>
          <w:rFonts w:ascii="仿宋_GB2312" w:hAnsi="仿宋_GB2312" w:eastAsia="仿宋_GB2312" w:cs="仿宋_GB2312"/>
          <w:szCs w:val="21"/>
        </w:rPr>
        <w:t>.</w:t>
      </w:r>
      <w:r>
        <w:rPr>
          <w:rFonts w:hint="eastAsia" w:ascii="仿宋_GB2312" w:hAnsi="仿宋_GB2312" w:eastAsia="仿宋_GB2312" w:cs="仿宋_GB2312"/>
          <w:szCs w:val="21"/>
        </w:rPr>
        <w:t>不动产单元代码编制。统一按照《不动产单元设定与代码编制规则》编制不动产单元代码。</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B</w:t>
      </w:r>
      <w:r>
        <w:rPr>
          <w:rFonts w:ascii="仿宋_GB2312" w:hAnsi="仿宋_GB2312" w:eastAsia="仿宋_GB2312" w:cs="仿宋_GB2312"/>
          <w:szCs w:val="21"/>
        </w:rPr>
        <w:t>.</w:t>
      </w:r>
      <w:r>
        <w:rPr>
          <w:rFonts w:hint="eastAsia" w:ascii="仿宋_GB2312" w:hAnsi="仿宋_GB2312" w:eastAsia="仿宋_GB2312" w:cs="仿宋_GB2312"/>
          <w:szCs w:val="21"/>
        </w:rPr>
        <w:t>其他字段补录。补录要素代码、不动产类型、宗地特征码、不动产单元状态等信息。</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C</w:t>
      </w:r>
      <w:r>
        <w:rPr>
          <w:rFonts w:ascii="仿宋_GB2312" w:hAnsi="仿宋_GB2312" w:eastAsia="仿宋_GB2312" w:cs="仿宋_GB2312"/>
          <w:szCs w:val="21"/>
        </w:rPr>
        <w:t>.</w:t>
      </w:r>
      <w:r>
        <w:rPr>
          <w:rFonts w:hint="eastAsia" w:ascii="仿宋_GB2312" w:hAnsi="仿宋_GB2312" w:eastAsia="仿宋_GB2312" w:cs="仿宋_GB2312"/>
          <w:szCs w:val="21"/>
        </w:rPr>
        <w:t>关联关系重建。用不动产单元代码建立空间信息和非空间信息、不动产和权利、不动产权利和登记过程关联关系。</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ascii="仿宋_GB2312" w:hAnsi="仿宋_GB2312" w:eastAsia="仿宋_GB2312" w:cs="仿宋_GB2312"/>
          <w:szCs w:val="21"/>
        </w:rPr>
        <w:t>D.</w:t>
      </w:r>
      <w:r>
        <w:rPr>
          <w:rFonts w:hint="eastAsia" w:ascii="仿宋_GB2312" w:hAnsi="仿宋_GB2312" w:eastAsia="仿宋_GB2312" w:cs="仿宋_GB2312"/>
          <w:szCs w:val="21"/>
        </w:rPr>
        <w:t>数据一致性核对。充分核对已有登记数据、纸质资料，修正错误、查缺补漏。</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ascii="仿宋_GB2312" w:hAnsi="仿宋_GB2312" w:eastAsia="仿宋_GB2312" w:cs="仿宋_GB2312"/>
          <w:szCs w:val="21"/>
        </w:rPr>
        <w:t>E.</w:t>
      </w:r>
      <w:r>
        <w:rPr>
          <w:rFonts w:hint="eastAsia" w:ascii="仿宋_GB2312" w:hAnsi="仿宋_GB2312" w:eastAsia="仿宋_GB2312" w:cs="仿宋_GB2312"/>
          <w:szCs w:val="21"/>
        </w:rPr>
        <w:t>逻辑关系整理。通过业务号和不动产单元代码等关键字建立不动产登记的上下手逻辑关系。</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⑦登记档案资料整理</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档案材料分为电子档案和纸质档案。将纸质档案进行扫描电子化，并按照一定方式整编，形成电子档案，通过不动产单元代码、原地籍号、档案号等将登记簿和登记档案进行关联，便于追溯。</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ascii="仿宋_GB2312" w:hAnsi="仿宋_GB2312" w:eastAsia="仿宋_GB2312" w:cs="仿宋_GB2312"/>
          <w:szCs w:val="21"/>
        </w:rPr>
        <w:t>(4)</w:t>
      </w:r>
      <w:r>
        <w:rPr>
          <w:rFonts w:hint="eastAsia" w:ascii="仿宋_GB2312" w:hAnsi="仿宋_GB2312" w:eastAsia="仿宋_GB2312" w:cs="仿宋_GB2312"/>
          <w:szCs w:val="21"/>
        </w:rPr>
        <w:t>更新集体土地所有权确权登记成果</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①核实已登记成果权属状况</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核实已登记的集体土地所有权土地权属状况，对集体土地所有权有关情况发生变化的，通过不动产登记系统办理登记、更新成果。</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②需更新的集体土地所有权权属界线确定</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A</w:t>
      </w:r>
      <w:r>
        <w:rPr>
          <w:rFonts w:ascii="仿宋_GB2312" w:hAnsi="仿宋_GB2312" w:eastAsia="仿宋_GB2312" w:cs="仿宋_GB2312"/>
          <w:szCs w:val="21"/>
        </w:rPr>
        <w:t>.</w:t>
      </w:r>
      <w:r>
        <w:rPr>
          <w:rFonts w:hint="eastAsia" w:ascii="仿宋_GB2312" w:hAnsi="仿宋_GB2312" w:eastAsia="仿宋_GB2312" w:cs="仿宋_GB2312"/>
          <w:szCs w:val="21"/>
        </w:rPr>
        <w:t>已登记集体土地所有权界址发生变化，但导致变化的法定文件（如土地征收批准文件）中已有明确界址坐标的，不再开展权属指界和不动产测绘。</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B</w:t>
      </w:r>
      <w:r>
        <w:rPr>
          <w:rFonts w:ascii="仿宋_GB2312" w:hAnsi="仿宋_GB2312" w:eastAsia="仿宋_GB2312" w:cs="仿宋_GB2312"/>
          <w:szCs w:val="21"/>
        </w:rPr>
        <w:t>.</w:t>
      </w:r>
      <w:r>
        <w:rPr>
          <w:rFonts w:hint="eastAsia" w:ascii="仿宋_GB2312" w:hAnsi="仿宋_GB2312" w:eastAsia="仿宋_GB2312" w:cs="仿宋_GB2312"/>
          <w:szCs w:val="21"/>
        </w:rPr>
        <w:t>已登记集体土地所有权界址发生变化的，依据权属变化材料，编制不动产单元代码，按规定履行权属调查程序。条件具备的，实地指认权属界线，采用解析法实测界址点。条件不具备的，可利用高分辨率正射影像图，经图上指界签字后采集界址点坐标，形成地籍调查成果。对重要的以及影像上不清晰或有争议的界址点，采用解析法实测。</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C</w:t>
      </w:r>
      <w:r>
        <w:rPr>
          <w:rFonts w:ascii="仿宋_GB2312" w:hAnsi="仿宋_GB2312" w:eastAsia="仿宋_GB2312" w:cs="仿宋_GB2312"/>
          <w:szCs w:val="21"/>
        </w:rPr>
        <w:t>.</w:t>
      </w:r>
      <w:r>
        <w:rPr>
          <w:rFonts w:hint="eastAsia" w:ascii="仿宋_GB2312" w:hAnsi="仿宋_GB2312" w:eastAsia="仿宋_GB2312" w:cs="仿宋_GB2312"/>
          <w:szCs w:val="21"/>
        </w:rPr>
        <w:t>因采用底图不同、测绘精度不同或坐标转换等原因造成集体土地所有权之间存在交叉重叠或缝隙的，经核实，界址未发生变化且不存在权属争议的，不再开展权属指界。按照集体土地所有权界线的走向说明等权属调查资料，结合影像特征线，调整确定集体土地所有权宗地界线。</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D</w:t>
      </w:r>
      <w:r>
        <w:rPr>
          <w:rFonts w:ascii="仿宋_GB2312" w:hAnsi="仿宋_GB2312" w:eastAsia="仿宋_GB2312" w:cs="仿宋_GB2312"/>
          <w:szCs w:val="21"/>
        </w:rPr>
        <w:t>.</w:t>
      </w:r>
      <w:r>
        <w:rPr>
          <w:rFonts w:hint="eastAsia" w:ascii="仿宋_GB2312" w:hAnsi="仿宋_GB2312" w:eastAsia="仿宋_GB2312" w:cs="仿宋_GB2312"/>
          <w:szCs w:val="21"/>
        </w:rPr>
        <w:t>存在权属争议且一时难以解决的，编制土地权属争议原由书，查清权属争议主体，经争议各方指认，对有争议部分划定争议区，设立争议宗地，编制不动产单元代码；对无争议部分土地设定不动产单元代码并编码，核实并确定权属界线，对界址走向进行详细描述，纳入登记范围。</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③集体土地所有权登记成果更新</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对于已登记的集体土地所有权登记成果发生变化或经核实有错误的，利用不动产登记系统，区分以下情形统一集中更新。</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A</w:t>
      </w:r>
      <w:r>
        <w:rPr>
          <w:rFonts w:ascii="仿宋_GB2312" w:hAnsi="仿宋_GB2312" w:eastAsia="仿宋_GB2312" w:cs="仿宋_GB2312"/>
          <w:szCs w:val="21"/>
        </w:rPr>
        <w:t>.</w:t>
      </w:r>
      <w:r>
        <w:rPr>
          <w:rFonts w:hint="eastAsia" w:ascii="仿宋_GB2312" w:hAnsi="仿宋_GB2312" w:eastAsia="仿宋_GB2312" w:cs="仿宋_GB2312"/>
          <w:szCs w:val="21"/>
        </w:rPr>
        <w:t>因征收导致全部或部分集体土地所有权消灭的，由市、县自然资源主管部门依据土地征收批准文件等，报请同级人民政府出具嘱托文件后，不动产登记机构采取依嘱托方式统一办理注销或变更登记。</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B</w:t>
      </w:r>
      <w:r>
        <w:rPr>
          <w:rFonts w:ascii="仿宋_GB2312" w:hAnsi="仿宋_GB2312" w:eastAsia="仿宋_GB2312" w:cs="仿宋_GB2312"/>
          <w:szCs w:val="21"/>
        </w:rPr>
        <w:t>.</w:t>
      </w:r>
      <w:r>
        <w:rPr>
          <w:rFonts w:hint="eastAsia" w:ascii="仿宋_GB2312" w:hAnsi="仿宋_GB2312" w:eastAsia="仿宋_GB2312" w:cs="仿宋_GB2312"/>
          <w:szCs w:val="21"/>
        </w:rPr>
        <w:t>农民集体因互换、土地调整等原因导致集体土地所有权转移的，由乡（镇）人民政府统一组织有关农民集体申请办理转移登记等，不动产登记机构按照《不动产登记操作规范（试行）》7.3.4的规定等开展登记审核和登簿发证。</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C</w:t>
      </w:r>
      <w:r>
        <w:rPr>
          <w:rFonts w:ascii="仿宋_GB2312" w:hAnsi="仿宋_GB2312" w:eastAsia="仿宋_GB2312" w:cs="仿宋_GB2312"/>
          <w:szCs w:val="21"/>
        </w:rPr>
        <w:t>.</w:t>
      </w:r>
      <w:r>
        <w:rPr>
          <w:rFonts w:hint="eastAsia" w:ascii="仿宋_GB2312" w:hAnsi="仿宋_GB2312" w:eastAsia="仿宋_GB2312" w:cs="仿宋_GB2312"/>
          <w:szCs w:val="21"/>
        </w:rPr>
        <w:t>农民集体合并或撤销、行政区划调整等导致集体土地所有权、农民集体名称或代码发生变化的，由乡（镇）人民政府统一组织有关农民集体申请办理相关登记。涉及集体土地所有权发生转移的，不动产登记机构应按照《不动产登记暂行条例实施细则》第31条以及《不动产登记操作规范（试行）》7.3的规定等要求办理转移登记。不涉及集体土地所有权转移的，按照《不动产登记暂行条例实施细则》第32条以及《不动产登记操作规范（试行）》7.2的规定等办理变更登记。</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D</w:t>
      </w:r>
      <w:r>
        <w:rPr>
          <w:rFonts w:ascii="仿宋_GB2312" w:hAnsi="仿宋_GB2312" w:eastAsia="仿宋_GB2312" w:cs="仿宋_GB2312"/>
          <w:szCs w:val="21"/>
        </w:rPr>
        <w:t>.</w:t>
      </w:r>
      <w:r>
        <w:rPr>
          <w:rFonts w:hint="eastAsia" w:ascii="仿宋_GB2312" w:hAnsi="仿宋_GB2312" w:eastAsia="仿宋_GB2312" w:cs="仿宋_GB2312"/>
          <w:szCs w:val="21"/>
        </w:rPr>
        <w:t>因测绘精度等原因造成集体土地与国有土地、其他集体土地交叉重叠的，经核实，不存在权属争议且界址无变化的，遵循“低精度服从高精度”原则，按照《不动产登记暂行条例实施细则》第八十一条有关规定办理更正登记。针对技术精度等原因导致登记簿记载错误，但核实无权属争议的，不动产登记机构应当通知当事人在30个工作日内办理更正登记。当事人逾期不办理的，不动产登记机构应当在公告15个工作日后，依法予以更正，但在错误登记之后因互换、调整等已经办理了集体土地所有权转移登记的除外。</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利用更新后的集体土地所有权确权登记成果及权属争议宗地信息，根据地籍图编制相关要求，生成集体土地所有权地籍图。</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集体建设用地使用权登记存量数据整合汇交工作</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依据自然资源部《关于加快宅基地和集体建设用地使用权确权登记工作的通知》（自然资发〔</w:t>
      </w:r>
      <w:r>
        <w:rPr>
          <w:rFonts w:ascii="仿宋_GB2312" w:hAnsi="仿宋_GB2312" w:eastAsia="仿宋_GB2312" w:cs="仿宋_GB2312"/>
          <w:szCs w:val="21"/>
        </w:rPr>
        <w:t>2020〕84号）</w:t>
      </w:r>
      <w:r>
        <w:rPr>
          <w:rFonts w:hint="eastAsia" w:ascii="仿宋_GB2312" w:hAnsi="仿宋_GB2312" w:eastAsia="仿宋_GB2312" w:cs="仿宋_GB2312"/>
          <w:szCs w:val="21"/>
        </w:rPr>
        <w:t>和辽宁省自然资源厅《关于汇交农村确权登记成果的通知》</w:t>
      </w:r>
      <w:r>
        <w:rPr>
          <w:rFonts w:ascii="仿宋_GB2312" w:hAnsi="仿宋_GB2312" w:eastAsia="仿宋_GB2312" w:cs="仿宋_GB2312"/>
          <w:szCs w:val="21"/>
        </w:rPr>
        <w:t>明确要求</w:t>
      </w:r>
      <w:r>
        <w:rPr>
          <w:rFonts w:hint="eastAsia" w:ascii="仿宋_GB2312" w:hAnsi="仿宋_GB2312" w:eastAsia="仿宋_GB2312" w:cs="仿宋_GB2312"/>
          <w:szCs w:val="21"/>
        </w:rPr>
        <w:t>，铁岭县需开展集体建设用地数据汇交工作，通过原始档案整理、数据标准化转化、采集补录及数据质检，形成空间数据、非空间数据、电子文档、纸质材料等全面、完整、准确、科学、符合不动产登记存量数据成果汇交规范的集体建设用地使用权登记存量数据整合汇交包。</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3</w:t>
      </w:r>
      <w:r>
        <w:rPr>
          <w:rFonts w:ascii="仿宋_GB2312" w:hAnsi="仿宋_GB2312" w:eastAsia="仿宋_GB2312" w:cs="仿宋_GB2312"/>
          <w:szCs w:val="21"/>
        </w:rPr>
        <w:t>.</w:t>
      </w:r>
      <w:r>
        <w:rPr>
          <w:rFonts w:hint="eastAsia" w:ascii="仿宋_GB2312" w:hAnsi="仿宋_GB2312" w:eastAsia="仿宋_GB2312" w:cs="仿宋_GB2312"/>
          <w:szCs w:val="21"/>
        </w:rPr>
        <w:t>林权登记存量数据整合汇交工作</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依据《自然资源部办公厅</w:t>
      </w:r>
      <w:r>
        <w:rPr>
          <w:rFonts w:ascii="仿宋_GB2312" w:hAnsi="仿宋_GB2312" w:eastAsia="仿宋_GB2312" w:cs="仿宋_GB2312"/>
          <w:szCs w:val="21"/>
        </w:rPr>
        <w:t xml:space="preserve"> 国家林业和草原局办公室关于进一步规范林权类不动产登记做好林权登记与林业管理衔接的通知》（自然资办发〔2020〕31号）</w:t>
      </w:r>
      <w:r>
        <w:rPr>
          <w:rFonts w:hint="eastAsia" w:ascii="仿宋_GB2312" w:hAnsi="仿宋_GB2312" w:eastAsia="仿宋_GB2312" w:cs="仿宋_GB2312"/>
          <w:szCs w:val="21"/>
        </w:rPr>
        <w:t>和</w:t>
      </w:r>
      <w:r>
        <w:rPr>
          <w:rFonts w:ascii="仿宋_GB2312" w:hAnsi="仿宋_GB2312" w:eastAsia="仿宋_GB2312" w:cs="仿宋_GB2312"/>
          <w:szCs w:val="21"/>
        </w:rPr>
        <w:t>《</w:t>
      </w:r>
      <w:r>
        <w:rPr>
          <w:rFonts w:hint="eastAsia" w:ascii="仿宋_GB2312" w:hAnsi="仿宋_GB2312" w:eastAsia="仿宋_GB2312" w:cs="仿宋_GB2312"/>
          <w:szCs w:val="21"/>
        </w:rPr>
        <w:t>自然资源部办公厅</w:t>
      </w:r>
      <w:r>
        <w:rPr>
          <w:rFonts w:ascii="仿宋_GB2312" w:hAnsi="仿宋_GB2312" w:eastAsia="仿宋_GB2312" w:cs="仿宋_GB2312"/>
          <w:szCs w:val="21"/>
        </w:rPr>
        <w:t xml:space="preserve">  国家林业和草原局办公室关于强化业务协同加快推进林权登记资料移交数据整合和信息共享的通知 》（自然资办发〔2023〕2号）</w:t>
      </w:r>
      <w:r>
        <w:rPr>
          <w:rFonts w:hint="eastAsia" w:ascii="仿宋_GB2312" w:hAnsi="仿宋_GB2312" w:eastAsia="仿宋_GB2312" w:cs="仿宋_GB2312"/>
          <w:szCs w:val="21"/>
        </w:rPr>
        <w:t>明确要求，铁岭县需开展林权登记存量数据整合汇交工作，通过原始档案整理、数据标准化转化、采集补录及数据质检，形成空间数据、非空间数据、电子文档、纸质材料等全面、完整、准确、科学、符合不动产登记存量数据成果汇交规范的林权登记存量数据整合汇交包。</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4</w:t>
      </w:r>
      <w:r>
        <w:rPr>
          <w:rFonts w:ascii="仿宋_GB2312" w:hAnsi="仿宋_GB2312" w:eastAsia="仿宋_GB2312" w:cs="仿宋_GB2312"/>
          <w:szCs w:val="21"/>
        </w:rPr>
        <w:t>.</w:t>
      </w:r>
      <w:r>
        <w:rPr>
          <w:rFonts w:hint="eastAsia" w:ascii="仿宋_GB2312" w:hAnsi="仿宋_GB2312" w:eastAsia="仿宋_GB2312" w:cs="仿宋_GB2312"/>
          <w:szCs w:val="21"/>
        </w:rPr>
        <w:t>数据汇交规范</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依据《不动产登记存量数据成果汇交规范》，以县级为单位汇交2000国家大地坐标系数据成果，采用质检软件完成质检后，提交至上级自然资源主管部门。内容包括空间矢量、影像图、属性表格和其他数据等电子数据，以及汇交资料清单等纸质文件材料。</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w:t>
      </w:r>
      <w:r>
        <w:rPr>
          <w:rFonts w:hint="eastAsia" w:ascii="仿宋_GB2312" w:hAnsi="仿宋_GB2312" w:eastAsia="仿宋_GB2312" w:cs="仿宋_GB2312"/>
          <w:szCs w:val="21"/>
        </w:rPr>
        <w:t>矢量空间数据成果</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bookmarkStart w:id="165" w:name="_Hlk140242667"/>
      <w:r>
        <w:rPr>
          <w:rFonts w:hint="eastAsia" w:ascii="仿宋_GB2312" w:hAnsi="仿宋_GB2312" w:eastAsia="仿宋_GB2312" w:cs="仿宋_GB2312"/>
          <w:szCs w:val="21"/>
        </w:rPr>
        <w:t>统一采用“2000国家大地坐标系”、“1985国家高程基准”，包括不动产单元要素(含宗地、界址点、界址线和注记等)和基础地理信息要素(含行政区、行政区界线、行政区注记、地籍区、地籍子区等)。</w:t>
      </w:r>
      <w:bookmarkEnd w:id="165"/>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2)</w:t>
      </w:r>
      <w:r>
        <w:rPr>
          <w:rFonts w:hint="eastAsia" w:ascii="仿宋_GB2312" w:hAnsi="仿宋_GB2312" w:eastAsia="仿宋_GB2312" w:cs="仿宋_GB2312"/>
          <w:szCs w:val="21"/>
        </w:rPr>
        <w:t>属性数据成果</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bookmarkStart w:id="166" w:name="_Hlk140242828"/>
      <w:r>
        <w:rPr>
          <w:rFonts w:hint="eastAsia" w:ascii="仿宋_GB2312" w:hAnsi="仿宋_GB2312" w:eastAsia="仿宋_GB2312" w:cs="仿宋_GB2312"/>
          <w:szCs w:val="21"/>
        </w:rPr>
        <w:t>属性数据主要包括《不动产登记数据库标准》（TD/T 1066—2021）规定的各类非空间要素结构数据。</w:t>
      </w:r>
    </w:p>
    <w:bookmarkEnd w:id="166"/>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3)</w:t>
      </w:r>
      <w:r>
        <w:rPr>
          <w:rFonts w:hint="eastAsia" w:ascii="仿宋_GB2312" w:hAnsi="仿宋_GB2312" w:eastAsia="仿宋_GB2312" w:cs="仿宋_GB2312"/>
          <w:szCs w:val="21"/>
        </w:rPr>
        <w:t>数字正射影像图</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包含数字正射影像图（D</w:t>
      </w:r>
      <w:r>
        <w:rPr>
          <w:rFonts w:ascii="仿宋_GB2312" w:hAnsi="仿宋_GB2312" w:eastAsia="仿宋_GB2312" w:cs="仿宋_GB2312"/>
          <w:szCs w:val="21"/>
        </w:rPr>
        <w:t>OM</w:t>
      </w:r>
      <w:r>
        <w:rPr>
          <w:rFonts w:hint="eastAsia" w:ascii="仿宋_GB2312" w:hAnsi="仿宋_GB2312" w:eastAsia="仿宋_GB2312" w:cs="仿宋_GB2312"/>
          <w:szCs w:val="21"/>
        </w:rPr>
        <w:t>）、可分为县级全辖区标准分幅影像或全辖区无缝拼接影像，可采用G</w:t>
      </w:r>
      <w:r>
        <w:rPr>
          <w:rFonts w:ascii="仿宋_GB2312" w:hAnsi="仿宋_GB2312" w:eastAsia="仿宋_GB2312" w:cs="仿宋_GB2312"/>
          <w:szCs w:val="21"/>
        </w:rPr>
        <w:t>EOTIFF</w:t>
      </w:r>
      <w:r>
        <w:rPr>
          <w:rFonts w:hint="eastAsia" w:ascii="仿宋_GB2312" w:hAnsi="仿宋_GB2312" w:eastAsia="仿宋_GB2312" w:cs="仿宋_GB2312"/>
          <w:szCs w:val="21"/>
        </w:rPr>
        <w:t>、IMG格式进行存储。</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4)</w:t>
      </w:r>
      <w:r>
        <w:rPr>
          <w:rFonts w:hint="eastAsia" w:ascii="仿宋_GB2312" w:hAnsi="仿宋_GB2312" w:eastAsia="仿宋_GB2312" w:cs="仿宋_GB2312"/>
          <w:szCs w:val="21"/>
        </w:rPr>
        <w:t>元数据</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按照《国土资源信息核心元数据标准》和《不动产登记数据库标准》（TD/T 1066—2021）采集相关元数据信息，采用XML格式。</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5)</w:t>
      </w:r>
      <w:r>
        <w:rPr>
          <w:rFonts w:hint="eastAsia" w:ascii="仿宋_GB2312" w:hAnsi="仿宋_GB2312" w:eastAsia="仿宋_GB2312" w:cs="仿宋_GB2312"/>
          <w:szCs w:val="21"/>
        </w:rPr>
        <w:t>其他数据</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主要</w:t>
      </w:r>
      <w:bookmarkStart w:id="167" w:name="_Hlk140242978"/>
      <w:r>
        <w:rPr>
          <w:rFonts w:hint="eastAsia" w:ascii="仿宋_GB2312" w:hAnsi="仿宋_GB2312" w:eastAsia="仿宋_GB2312" w:cs="仿宋_GB2312"/>
          <w:szCs w:val="21"/>
        </w:rPr>
        <w:t>包括扫描资料、文字报告以及其他资料等内容，可用JPG、PDF、WORD、Excel、TXT、WPS等格式进行存储。</w:t>
      </w:r>
      <w:bookmarkEnd w:id="167"/>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（三）工作依据</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bookmarkStart w:id="168" w:name="_Toc108099429"/>
      <w:r>
        <w:rPr>
          <w:rFonts w:hint="eastAsia" w:ascii="仿宋_GB2312" w:hAnsi="仿宋_GB2312" w:eastAsia="仿宋_GB2312" w:cs="仿宋_GB2312"/>
          <w:szCs w:val="21"/>
        </w:rPr>
        <w:t>1</w:t>
      </w:r>
      <w:r>
        <w:rPr>
          <w:rFonts w:ascii="仿宋_GB2312" w:hAnsi="仿宋_GB2312" w:eastAsia="仿宋_GB2312" w:cs="仿宋_GB2312"/>
          <w:szCs w:val="21"/>
        </w:rPr>
        <w:t>.</w:t>
      </w:r>
      <w:r>
        <w:rPr>
          <w:rFonts w:hint="eastAsia" w:ascii="仿宋_GB2312" w:hAnsi="仿宋_GB2312" w:eastAsia="仿宋_GB2312" w:cs="仿宋_GB2312"/>
          <w:szCs w:val="21"/>
        </w:rPr>
        <w:t>法规和政策文件</w:t>
      </w:r>
      <w:bookmarkEnd w:id="168"/>
    </w:p>
    <w:p>
      <w:pPr>
        <w:adjustRightInd w:val="0"/>
        <w:snapToGrid w:val="0"/>
        <w:spacing w:line="360" w:lineRule="auto"/>
        <w:ind w:right="105" w:rightChars="50" w:firstLine="476" w:firstLineChars="227"/>
        <w:jc w:val="left"/>
        <w:rPr>
          <w:rFonts w:ascii="仿宋_GB2312" w:hAnsi="仿宋_GB2312" w:eastAsia="仿宋_GB2312" w:cs="仿宋_GB2312"/>
          <w:szCs w:val="21"/>
        </w:rPr>
      </w:pPr>
      <w:bookmarkStart w:id="169" w:name="_Toc108099430"/>
      <w:r>
        <w:rPr>
          <w:rFonts w:hint="eastAsia" w:ascii="仿宋_GB2312" w:hAnsi="仿宋_GB2312" w:eastAsia="仿宋_GB2312" w:cs="仿宋_GB2312"/>
          <w:szCs w:val="21"/>
        </w:rPr>
        <w:t>(</w:t>
      </w:r>
      <w:r>
        <w:rPr>
          <w:rFonts w:ascii="仿宋_GB2312" w:hAnsi="仿宋_GB2312" w:eastAsia="仿宋_GB2312" w:cs="仿宋_GB2312"/>
          <w:szCs w:val="21"/>
        </w:rPr>
        <w:t>1)</w:t>
      </w:r>
      <w:r>
        <w:rPr>
          <w:rFonts w:hint="eastAsia" w:ascii="仿宋_GB2312" w:hAnsi="仿宋_GB2312" w:eastAsia="仿宋_GB2312" w:cs="仿宋_GB2312"/>
          <w:szCs w:val="21"/>
        </w:rPr>
        <w:t>《不动产登记暂行条例》（国务院令第 656 号）；</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2)</w:t>
      </w:r>
      <w:r>
        <w:rPr>
          <w:rFonts w:hint="eastAsia" w:ascii="仿宋_GB2312" w:hAnsi="仿宋_GB2312" w:eastAsia="仿宋_GB2312" w:cs="仿宋_GB2312"/>
          <w:szCs w:val="21"/>
        </w:rPr>
        <w:t>土地管理法实施条例》（国务院令第 743 号）；</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3)</w:t>
      </w:r>
      <w:r>
        <w:rPr>
          <w:rFonts w:hint="eastAsia" w:ascii="仿宋_GB2312" w:hAnsi="仿宋_GB2312" w:eastAsia="仿宋_GB2312" w:cs="仿宋_GB2312"/>
          <w:szCs w:val="21"/>
        </w:rPr>
        <w:t>《土地权属争议调查处理办法》（国土资源部令第 17 号）；</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ascii="仿宋_GB2312" w:hAnsi="仿宋_GB2312" w:eastAsia="仿宋_GB2312" w:cs="仿宋_GB2312"/>
          <w:szCs w:val="21"/>
        </w:rPr>
        <w:t>(4)</w:t>
      </w:r>
      <w:r>
        <w:rPr>
          <w:rFonts w:hint="eastAsia" w:ascii="仿宋_GB2312" w:hAnsi="仿宋_GB2312" w:eastAsia="仿宋_GB2312" w:cs="仿宋_GB2312"/>
          <w:szCs w:val="21"/>
        </w:rPr>
        <w:t>《不动产登记暂行条例实施细则》（国土资源部令第 63 号）；</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ascii="仿宋_GB2312" w:hAnsi="仿宋_GB2312" w:eastAsia="仿宋_GB2312" w:cs="仿宋_GB2312"/>
          <w:szCs w:val="21"/>
        </w:rPr>
        <w:t>(5)</w:t>
      </w:r>
      <w:r>
        <w:rPr>
          <w:rFonts w:hint="eastAsia" w:ascii="仿宋_GB2312" w:hAnsi="仿宋_GB2312" w:eastAsia="仿宋_GB2312" w:cs="仿宋_GB2312"/>
          <w:szCs w:val="21"/>
        </w:rPr>
        <w:t>《国土资源部 财政部 农业部关于加快推进农村集体土地确权登记发证工作的通知》（国土资发〔2011〕60 号）；</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ascii="仿宋_GB2312" w:hAnsi="仿宋_GB2312" w:eastAsia="仿宋_GB2312" w:cs="仿宋_GB2312"/>
          <w:szCs w:val="21"/>
        </w:rPr>
        <w:t>(6)</w:t>
      </w:r>
      <w:r>
        <w:rPr>
          <w:rFonts w:hint="eastAsia" w:ascii="仿宋_GB2312" w:hAnsi="仿宋_GB2312" w:eastAsia="仿宋_GB2312" w:cs="仿宋_GB2312"/>
          <w:szCs w:val="21"/>
        </w:rPr>
        <w:t>《国土资源部 中央农村工作领导小组办公室 财政部 农业部 关于农村集体土地确权登记发证的若干意见》（国土资发 〔2011〕178 号）；</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ascii="仿宋_GB2312" w:hAnsi="仿宋_GB2312" w:eastAsia="仿宋_GB2312" w:cs="仿宋_GB2312"/>
          <w:szCs w:val="21"/>
        </w:rPr>
        <w:t>(7)</w:t>
      </w:r>
      <w:r>
        <w:rPr>
          <w:rFonts w:hint="eastAsia" w:ascii="仿宋_GB2312" w:hAnsi="仿宋_GB2312" w:eastAsia="仿宋_GB2312" w:cs="仿宋_GB2312"/>
          <w:szCs w:val="21"/>
        </w:rPr>
        <w:t>《自然资源部关于加快完成集体土地所有权确权登记成果更新汇交的通知》（自然资发〔2022〕19 号)；</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8)</w:t>
      </w:r>
      <w:r>
        <w:rPr>
          <w:rFonts w:hint="eastAsia" w:ascii="仿宋_GB2312" w:hAnsi="仿宋_GB2312" w:eastAsia="仿宋_GB2312" w:cs="仿宋_GB2312"/>
          <w:szCs w:val="21"/>
        </w:rPr>
        <w:t>《自然资源部关于加快宅基地和集体建设用地使用权确权登记工作的通知》（自然资发〔</w:t>
      </w:r>
      <w:r>
        <w:rPr>
          <w:rFonts w:ascii="仿宋_GB2312" w:hAnsi="仿宋_GB2312" w:eastAsia="仿宋_GB2312" w:cs="仿宋_GB2312"/>
          <w:szCs w:val="21"/>
        </w:rPr>
        <w:t>2020〕84号）</w:t>
      </w:r>
      <w:r>
        <w:rPr>
          <w:rFonts w:hint="eastAsia" w:ascii="仿宋_GB2312" w:hAnsi="仿宋_GB2312" w:eastAsia="仿宋_GB2312" w:cs="仿宋_GB2312"/>
          <w:szCs w:val="21"/>
        </w:rPr>
        <w:t>；</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ascii="仿宋_GB2312" w:hAnsi="仿宋_GB2312" w:eastAsia="仿宋_GB2312" w:cs="仿宋_GB2312"/>
          <w:szCs w:val="21"/>
        </w:rPr>
        <w:t>(9)《</w:t>
      </w:r>
      <w:r>
        <w:rPr>
          <w:rFonts w:hint="eastAsia" w:ascii="仿宋_GB2312" w:hAnsi="仿宋_GB2312" w:eastAsia="仿宋_GB2312" w:cs="仿宋_GB2312"/>
          <w:szCs w:val="21"/>
        </w:rPr>
        <w:t>自然资源部办公厅</w:t>
      </w:r>
      <w:r>
        <w:rPr>
          <w:rFonts w:ascii="仿宋_GB2312" w:hAnsi="仿宋_GB2312" w:eastAsia="仿宋_GB2312" w:cs="仿宋_GB2312"/>
          <w:szCs w:val="21"/>
        </w:rPr>
        <w:t xml:space="preserve"> 国家林业和草原局办公室关于进一步规范林权类不动产登记做好林权登记与林业管理衔接的通知》（自然资办发〔2020〕31号）</w:t>
      </w:r>
      <w:r>
        <w:rPr>
          <w:rFonts w:hint="eastAsia" w:ascii="仿宋_GB2312" w:hAnsi="仿宋_GB2312" w:eastAsia="仿宋_GB2312" w:cs="仿宋_GB2312"/>
          <w:szCs w:val="21"/>
        </w:rPr>
        <w:t>，</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10)《</w:t>
      </w:r>
      <w:r>
        <w:rPr>
          <w:rFonts w:hint="eastAsia" w:ascii="仿宋_GB2312" w:hAnsi="仿宋_GB2312" w:eastAsia="仿宋_GB2312" w:cs="仿宋_GB2312"/>
          <w:szCs w:val="21"/>
        </w:rPr>
        <w:t>自然资源部办公厅</w:t>
      </w:r>
      <w:r>
        <w:rPr>
          <w:rFonts w:ascii="仿宋_GB2312" w:hAnsi="仿宋_GB2312" w:eastAsia="仿宋_GB2312" w:cs="仿宋_GB2312"/>
          <w:szCs w:val="21"/>
        </w:rPr>
        <w:t xml:space="preserve"> 国家林业和草原局办公室关于强化业务协同加快推进林权登记资料移交数据整合和信息共享的通知》（自然资办发〔2023〕2号）</w:t>
      </w:r>
      <w:r>
        <w:rPr>
          <w:rFonts w:hint="eastAsia" w:ascii="仿宋_GB2312" w:hAnsi="仿宋_GB2312" w:eastAsia="仿宋_GB2312" w:cs="仿宋_GB2312"/>
          <w:szCs w:val="21"/>
        </w:rPr>
        <w:t>；</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11)</w:t>
      </w:r>
      <w:r>
        <w:rPr>
          <w:rFonts w:hint="eastAsia" w:ascii="仿宋_GB2312" w:hAnsi="仿宋_GB2312" w:eastAsia="仿宋_GB2312" w:cs="仿宋_GB2312"/>
          <w:szCs w:val="21"/>
        </w:rPr>
        <w:t>《辽宁省自然资源厅关于汇交农村确权登记成果的通知》。</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2</w:t>
      </w:r>
      <w:r>
        <w:rPr>
          <w:rFonts w:ascii="仿宋_GB2312" w:hAnsi="仿宋_GB2312" w:eastAsia="仿宋_GB2312" w:cs="仿宋_GB2312"/>
          <w:szCs w:val="21"/>
        </w:rPr>
        <w:t>.</w:t>
      </w:r>
      <w:r>
        <w:rPr>
          <w:rFonts w:hint="eastAsia" w:ascii="仿宋_GB2312" w:hAnsi="仿宋_GB2312" w:eastAsia="仿宋_GB2312" w:cs="仿宋_GB2312"/>
          <w:szCs w:val="21"/>
        </w:rPr>
        <w:t>技术标准规范</w:t>
      </w:r>
      <w:bookmarkEnd w:id="169"/>
    </w:p>
    <w:p>
      <w:pPr>
        <w:adjustRightInd w:val="0"/>
        <w:snapToGrid w:val="0"/>
        <w:spacing w:line="360" w:lineRule="auto"/>
        <w:ind w:right="105" w:rightChars="50" w:firstLine="476" w:firstLineChars="227"/>
        <w:jc w:val="left"/>
        <w:rPr>
          <w:rFonts w:ascii="仿宋_GB2312" w:hAnsi="仿宋_GB2312" w:eastAsia="仿宋_GB2312" w:cs="仿宋_GB2312"/>
          <w:szCs w:val="21"/>
        </w:rPr>
      </w:pPr>
      <w:bookmarkStart w:id="170" w:name="_Hlk144372225"/>
      <w:r>
        <w:rPr>
          <w:rFonts w:hint="eastAsia" w:ascii="仿宋_GB2312" w:hAnsi="仿宋_GB2312" w:eastAsia="仿宋_GB2312" w:cs="仿宋_GB2312"/>
          <w:szCs w:val="21"/>
        </w:rPr>
        <w:t>(</w:t>
      </w:r>
      <w:r>
        <w:rPr>
          <w:rFonts w:ascii="仿宋_GB2312" w:hAnsi="仿宋_GB2312" w:eastAsia="仿宋_GB2312" w:cs="仿宋_GB2312"/>
          <w:szCs w:val="21"/>
        </w:rPr>
        <w:t>1)</w:t>
      </w:r>
      <w:bookmarkEnd w:id="170"/>
      <w:r>
        <w:rPr>
          <w:rFonts w:hint="eastAsia" w:ascii="仿宋_GB2312" w:hAnsi="仿宋_GB2312" w:eastAsia="仿宋_GB2312" w:cs="仿宋_GB2312"/>
          <w:szCs w:val="21"/>
        </w:rPr>
        <w:t>《不动产登记数据库标准》（TD/T 1066—2021）；</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2)</w:t>
      </w:r>
      <w:r>
        <w:rPr>
          <w:rFonts w:hint="eastAsia" w:ascii="仿宋_GB2312" w:hAnsi="仿宋_GB2312" w:eastAsia="仿宋_GB2312" w:cs="仿宋_GB2312"/>
          <w:szCs w:val="21"/>
        </w:rPr>
        <w:t>《不动产登记数据整合建库技术规范》（TD/T 1067—2021）；</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3)</w:t>
      </w:r>
      <w:r>
        <w:rPr>
          <w:rFonts w:hint="eastAsia" w:ascii="仿宋_GB2312" w:hAnsi="仿宋_GB2312" w:eastAsia="仿宋_GB2312" w:cs="仿宋_GB2312"/>
          <w:szCs w:val="21"/>
        </w:rPr>
        <w:t>《不动产登记存量数据成果汇交规范（2021年修订版）》；</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ascii="仿宋_GB2312" w:hAnsi="仿宋_GB2312" w:eastAsia="仿宋_GB2312" w:cs="仿宋_GB2312"/>
          <w:szCs w:val="21"/>
        </w:rPr>
        <w:t>(4)</w:t>
      </w:r>
      <w:r>
        <w:rPr>
          <w:rFonts w:hint="eastAsia" w:ascii="仿宋_GB2312" w:hAnsi="仿宋_GB2312" w:eastAsia="仿宋_GB2312" w:cs="仿宋_GB2312"/>
          <w:szCs w:val="21"/>
        </w:rPr>
        <w:t>《不动产登记信息管理基础平台接入技术规范（2021年修订版）》；</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ascii="仿宋_GB2312" w:hAnsi="仿宋_GB2312" w:eastAsia="仿宋_GB2312" w:cs="仿宋_GB2312"/>
          <w:szCs w:val="21"/>
        </w:rPr>
        <w:t>(5)</w:t>
      </w:r>
      <w:r>
        <w:rPr>
          <w:rFonts w:hint="eastAsia" w:ascii="仿宋_GB2312" w:hAnsi="仿宋_GB2312" w:eastAsia="仿宋_GB2312" w:cs="仿宋_GB2312"/>
          <w:szCs w:val="21"/>
        </w:rPr>
        <w:t>《地籍调查规程》（TD/T 1001—2012）；</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ascii="仿宋_GB2312" w:hAnsi="仿宋_GB2312" w:eastAsia="仿宋_GB2312" w:cs="仿宋_GB2312"/>
          <w:szCs w:val="21"/>
        </w:rPr>
        <w:t>(6)</w:t>
      </w:r>
      <w:r>
        <w:rPr>
          <w:rFonts w:hint="eastAsia" w:ascii="仿宋_GB2312" w:hAnsi="仿宋_GB2312" w:eastAsia="仿宋_GB2312" w:cs="仿宋_GB2312"/>
          <w:szCs w:val="21"/>
        </w:rPr>
        <w:t>《城镇地籍数据库标准》（</w:t>
      </w:r>
      <w:r>
        <w:rPr>
          <w:rFonts w:ascii="仿宋_GB2312" w:hAnsi="仿宋_GB2312" w:eastAsia="仿宋_GB2312" w:cs="仿宋_GB2312"/>
          <w:szCs w:val="21"/>
        </w:rPr>
        <w:t>TD/T 1015</w:t>
      </w:r>
      <w:r>
        <w:rPr>
          <w:rFonts w:hint="eastAsia" w:ascii="仿宋_GB2312" w:hAnsi="仿宋_GB2312" w:eastAsia="仿宋_GB2312" w:cs="仿宋_GB2312"/>
          <w:szCs w:val="21"/>
        </w:rPr>
        <w:t>）；</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ascii="仿宋_GB2312" w:hAnsi="仿宋_GB2312" w:eastAsia="仿宋_GB2312" w:cs="仿宋_GB2312"/>
          <w:szCs w:val="21"/>
        </w:rPr>
        <w:t>(7)</w:t>
      </w:r>
      <w:r>
        <w:rPr>
          <w:rFonts w:hint="eastAsia" w:ascii="仿宋_GB2312" w:hAnsi="仿宋_GB2312" w:eastAsia="仿宋_GB2312" w:cs="仿宋_GB2312"/>
          <w:szCs w:val="21"/>
        </w:rPr>
        <w:t>《不动产单元设定与代码编制规则》（GB/T 37346—2019）；</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8)</w:t>
      </w:r>
      <w:r>
        <w:rPr>
          <w:rFonts w:hint="eastAsia" w:ascii="仿宋_GB2312" w:hAnsi="仿宋_GB2312" w:eastAsia="仿宋_GB2312" w:cs="仿宋_GB2312"/>
          <w:szCs w:val="21"/>
        </w:rPr>
        <w:t>不动产登记操作规范（试行）；</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ascii="仿宋_GB2312" w:hAnsi="仿宋_GB2312" w:eastAsia="仿宋_GB2312" w:cs="仿宋_GB2312"/>
          <w:szCs w:val="21"/>
        </w:rPr>
        <w:t>(9)《土地利用现状分类》（GB/T21010- 2017）</w:t>
      </w:r>
      <w:r>
        <w:rPr>
          <w:rFonts w:hint="eastAsia" w:ascii="仿宋_GB2312" w:hAnsi="仿宋_GB2312" w:eastAsia="仿宋_GB2312" w:cs="仿宋_GB2312"/>
          <w:szCs w:val="21"/>
        </w:rPr>
        <w:t>；</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10)</w:t>
      </w:r>
      <w:r>
        <w:rPr>
          <w:rFonts w:hint="eastAsia" w:ascii="仿宋_GB2312" w:hAnsi="仿宋_GB2312" w:eastAsia="仿宋_GB2312" w:cs="仿宋_GB2312"/>
          <w:szCs w:val="21"/>
        </w:rPr>
        <w:t>《</w:t>
      </w:r>
      <w:r>
        <w:rPr>
          <w:rFonts w:ascii="仿宋_GB2312" w:hAnsi="仿宋_GB2312" w:eastAsia="仿宋_GB2312" w:cs="仿宋_GB2312"/>
          <w:szCs w:val="21"/>
        </w:rPr>
        <w:t>林地保护利用规划林地落界技术规程</w:t>
      </w:r>
      <w:r>
        <w:rPr>
          <w:rFonts w:hint="eastAsia" w:ascii="仿宋_GB2312" w:hAnsi="仿宋_GB2312" w:eastAsia="仿宋_GB2312" w:cs="仿宋_GB2312"/>
          <w:szCs w:val="21"/>
        </w:rPr>
        <w:t>》（</w:t>
      </w:r>
      <w:r>
        <w:rPr>
          <w:rFonts w:ascii="仿宋_GB2312" w:hAnsi="仿宋_GB2312" w:eastAsia="仿宋_GB2312" w:cs="仿宋_GB2312"/>
          <w:szCs w:val="21"/>
        </w:rPr>
        <w:t>LY/T 1955</w:t>
      </w:r>
      <w:r>
        <w:rPr>
          <w:rFonts w:hint="eastAsia" w:ascii="仿宋_GB2312" w:hAnsi="仿宋_GB2312" w:eastAsia="仿宋_GB2312" w:cs="仿宋_GB2312"/>
          <w:szCs w:val="21"/>
        </w:rPr>
        <w:t>）；</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11)</w:t>
      </w:r>
      <w:r>
        <w:rPr>
          <w:rFonts w:hint="eastAsia" w:ascii="仿宋_GB2312" w:hAnsi="仿宋_GB2312" w:eastAsia="仿宋_GB2312" w:cs="仿宋_GB2312"/>
          <w:szCs w:val="21"/>
        </w:rPr>
        <w:t>《林业数据库设计总体规范》（</w:t>
      </w:r>
      <w:r>
        <w:rPr>
          <w:rFonts w:ascii="仿宋_GB2312" w:hAnsi="仿宋_GB2312" w:eastAsia="仿宋_GB2312" w:cs="仿宋_GB2312"/>
          <w:szCs w:val="21"/>
        </w:rPr>
        <w:t>LY/T 2169-2013</w:t>
      </w:r>
      <w:r>
        <w:rPr>
          <w:rFonts w:hint="eastAsia" w:ascii="仿宋_GB2312" w:hAnsi="仿宋_GB2312" w:eastAsia="仿宋_GB2312" w:cs="仿宋_GB2312"/>
          <w:szCs w:val="21"/>
        </w:rPr>
        <w:t>）；</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12)</w:t>
      </w:r>
      <w:r>
        <w:rPr>
          <w:rFonts w:hint="eastAsia" w:ascii="仿宋_GB2312" w:hAnsi="仿宋_GB2312" w:eastAsia="仿宋_GB2312" w:cs="仿宋_GB2312"/>
          <w:szCs w:val="21"/>
        </w:rPr>
        <w:t>《森林资源规划设计调查技术规程》（</w:t>
      </w:r>
      <w:r>
        <w:rPr>
          <w:rFonts w:ascii="仿宋_GB2312" w:hAnsi="仿宋_GB2312" w:eastAsia="仿宋_GB2312" w:cs="仿宋_GB2312"/>
          <w:szCs w:val="21"/>
        </w:rPr>
        <w:t>GBT 26424-2010</w:t>
      </w:r>
      <w:r>
        <w:rPr>
          <w:rFonts w:hint="eastAsia" w:ascii="仿宋_GB2312" w:hAnsi="仿宋_GB2312" w:eastAsia="仿宋_GB2312" w:cs="仿宋_GB2312"/>
          <w:szCs w:val="21"/>
        </w:rPr>
        <w:t>）。</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bookmarkStart w:id="171" w:name="_Toc108099431"/>
      <w:r>
        <w:rPr>
          <w:rFonts w:hint="eastAsia" w:ascii="仿宋_GB2312" w:hAnsi="仿宋_GB2312" w:eastAsia="仿宋_GB2312" w:cs="仿宋_GB2312"/>
          <w:szCs w:val="21"/>
        </w:rPr>
        <w:t>3</w:t>
      </w:r>
      <w:r>
        <w:rPr>
          <w:rFonts w:ascii="仿宋_GB2312" w:hAnsi="仿宋_GB2312" w:eastAsia="仿宋_GB2312" w:cs="仿宋_GB2312"/>
          <w:szCs w:val="21"/>
        </w:rPr>
        <w:t>.</w:t>
      </w:r>
      <w:r>
        <w:rPr>
          <w:rFonts w:hint="eastAsia" w:ascii="仿宋_GB2312" w:hAnsi="仿宋_GB2312" w:eastAsia="仿宋_GB2312" w:cs="仿宋_GB2312"/>
          <w:szCs w:val="21"/>
        </w:rPr>
        <w:t>数学基础</w:t>
      </w:r>
      <w:bookmarkEnd w:id="171"/>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w:t>
      </w:r>
      <w:r>
        <w:rPr>
          <w:rFonts w:hint="eastAsia" w:ascii="仿宋_GB2312" w:hAnsi="仿宋_GB2312" w:eastAsia="仿宋_GB2312" w:cs="仿宋_GB2312"/>
          <w:szCs w:val="21"/>
        </w:rPr>
        <w:t xml:space="preserve">坐标系统：2000国家大地坐标系，高斯-克吕格投影，3°分带。 </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高程基准：1985国家高程基准。</w:t>
      </w:r>
      <w:bookmarkStart w:id="172" w:name="_Toc115096502"/>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（四）工作成果</w:t>
      </w:r>
      <w:bookmarkEnd w:id="172"/>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1.数据库成果</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w:t>
      </w:r>
      <w:r>
        <w:rPr>
          <w:rFonts w:hint="eastAsia" w:ascii="仿宋_GB2312" w:hAnsi="仿宋_GB2312" w:eastAsia="仿宋_GB2312" w:cs="仿宋_GB2312"/>
          <w:szCs w:val="21"/>
        </w:rPr>
        <w:t>铁岭县集体土地所有权确权登记成果更新汇交包；</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铁岭县集体建设用地使用权登记存量数据汇交包；</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ascii="仿宋_GB2312" w:hAnsi="仿宋_GB2312" w:eastAsia="仿宋_GB2312" w:cs="仿宋_GB2312"/>
          <w:szCs w:val="21"/>
        </w:rPr>
        <w:t>(3)</w:t>
      </w:r>
      <w:r>
        <w:rPr>
          <w:rFonts w:hint="eastAsia" w:ascii="仿宋_GB2312" w:hAnsi="仿宋_GB2312" w:eastAsia="仿宋_GB2312" w:cs="仿宋_GB2312"/>
          <w:szCs w:val="21"/>
        </w:rPr>
        <w:t>铁岭县林权登记存量数据汇交包。</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2.文档成果</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1)</w:t>
      </w:r>
      <w:r>
        <w:rPr>
          <w:rFonts w:hint="eastAsia" w:ascii="仿宋_GB2312" w:hAnsi="仿宋_GB2312" w:eastAsia="仿宋_GB2312" w:cs="仿宋_GB2312"/>
          <w:szCs w:val="21"/>
        </w:rPr>
        <w:t>铁岭县集体土地所有权确权登记成果更新汇交技术报告；</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铁岭县集体土地所有权确权登记成果更新汇交工作报告；</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ascii="仿宋_GB2312" w:hAnsi="仿宋_GB2312" w:eastAsia="仿宋_GB2312" w:cs="仿宋_GB2312"/>
          <w:szCs w:val="21"/>
        </w:rPr>
        <w:t>(3)</w:t>
      </w:r>
      <w:r>
        <w:rPr>
          <w:rFonts w:hint="eastAsia" w:ascii="仿宋_GB2312" w:hAnsi="仿宋_GB2312" w:eastAsia="仿宋_GB2312" w:cs="仿宋_GB2312"/>
          <w:szCs w:val="21"/>
        </w:rPr>
        <w:t>铁岭县集体土地所有权确权登记成果更新汇交质量检查报告；</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ascii="仿宋_GB2312" w:hAnsi="仿宋_GB2312" w:eastAsia="仿宋_GB2312" w:cs="仿宋_GB2312"/>
          <w:szCs w:val="21"/>
        </w:rPr>
        <w:t>(4)</w:t>
      </w:r>
      <w:r>
        <w:rPr>
          <w:rFonts w:hint="eastAsia" w:ascii="仿宋_GB2312" w:hAnsi="仿宋_GB2312" w:eastAsia="仿宋_GB2312" w:cs="仿宋_GB2312"/>
          <w:szCs w:val="21"/>
        </w:rPr>
        <w:t>铁岭县集体建设用地使用权登记存量数据汇交技术报告；</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ascii="仿宋_GB2312" w:hAnsi="仿宋_GB2312" w:eastAsia="仿宋_GB2312" w:cs="仿宋_GB2312"/>
          <w:szCs w:val="21"/>
        </w:rPr>
        <w:t>(5)</w:t>
      </w:r>
      <w:r>
        <w:rPr>
          <w:rFonts w:hint="eastAsia" w:ascii="仿宋_GB2312" w:hAnsi="仿宋_GB2312" w:eastAsia="仿宋_GB2312" w:cs="仿宋_GB2312"/>
          <w:szCs w:val="21"/>
        </w:rPr>
        <w:t>铁岭县集体建设用地使用权登记存量数据汇交工作报告；</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ascii="仿宋_GB2312" w:hAnsi="仿宋_GB2312" w:eastAsia="仿宋_GB2312" w:cs="仿宋_GB2312"/>
          <w:szCs w:val="21"/>
        </w:rPr>
        <w:t>(6)</w:t>
      </w:r>
      <w:r>
        <w:rPr>
          <w:rFonts w:hint="eastAsia" w:ascii="仿宋_GB2312" w:hAnsi="仿宋_GB2312" w:eastAsia="仿宋_GB2312" w:cs="仿宋_GB2312"/>
          <w:szCs w:val="21"/>
        </w:rPr>
        <w:t>铁岭县集体建设用地使用权登记存量数据汇交质量检查报告；</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ascii="仿宋_GB2312" w:hAnsi="仿宋_GB2312" w:eastAsia="仿宋_GB2312" w:cs="仿宋_GB2312"/>
          <w:szCs w:val="21"/>
        </w:rPr>
        <w:t>(7)</w:t>
      </w:r>
      <w:r>
        <w:rPr>
          <w:rFonts w:hint="eastAsia" w:ascii="仿宋_GB2312" w:hAnsi="仿宋_GB2312" w:eastAsia="仿宋_GB2312" w:cs="仿宋_GB2312"/>
          <w:szCs w:val="21"/>
        </w:rPr>
        <w:t>铁岭县林权登记存量数据汇交技术报告；</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ascii="仿宋_GB2312" w:hAnsi="仿宋_GB2312" w:eastAsia="仿宋_GB2312" w:cs="仿宋_GB2312"/>
          <w:szCs w:val="21"/>
        </w:rPr>
        <w:t>(8)</w:t>
      </w:r>
      <w:r>
        <w:rPr>
          <w:rFonts w:hint="eastAsia" w:ascii="仿宋_GB2312" w:hAnsi="仿宋_GB2312" w:eastAsia="仿宋_GB2312" w:cs="仿宋_GB2312"/>
          <w:szCs w:val="21"/>
        </w:rPr>
        <w:t>铁岭县林权登记存量数据汇交工作报告；</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ascii="仿宋_GB2312" w:hAnsi="仿宋_GB2312" w:eastAsia="仿宋_GB2312" w:cs="仿宋_GB2312"/>
          <w:szCs w:val="21"/>
        </w:rPr>
        <w:t>(9)</w:t>
      </w:r>
      <w:r>
        <w:rPr>
          <w:rFonts w:hint="eastAsia" w:ascii="仿宋_GB2312" w:hAnsi="仿宋_GB2312" w:eastAsia="仿宋_GB2312" w:cs="仿宋_GB2312"/>
          <w:szCs w:val="21"/>
        </w:rPr>
        <w:t>铁岭县林权登记存量数据汇交质量检查报告。</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r>
        <w:rPr>
          <w:rFonts w:ascii="仿宋_GB2312" w:hAnsi="仿宋_GB2312" w:eastAsia="仿宋_GB2312" w:cs="仿宋_GB2312"/>
          <w:szCs w:val="21"/>
        </w:rPr>
        <w:br w:type="page"/>
      </w:r>
    </w:p>
    <w:p>
      <w:pPr>
        <w:pStyle w:val="2"/>
        <w:snapToGrid w:val="0"/>
        <w:spacing w:before="319" w:beforeLines="100" w:after="319" w:afterLines="100" w:line="360" w:lineRule="auto"/>
        <w:rPr>
          <w:rFonts w:ascii="仿宋_GB2312" w:hAnsi="仿宋_GB2312" w:eastAsia="仿宋_GB2312" w:cs="仿宋_GB2312"/>
        </w:rPr>
      </w:pPr>
      <w:bookmarkStart w:id="173" w:name="_Toc8241"/>
      <w:bookmarkStart w:id="174" w:name="_Toc8062"/>
      <w:r>
        <w:rPr>
          <w:rFonts w:hint="eastAsia" w:ascii="仿宋_GB2312" w:hAnsi="仿宋_GB2312" w:eastAsia="仿宋_GB2312" w:cs="仿宋_GB2312"/>
        </w:rPr>
        <w:t>第四章 评标方法</w:t>
      </w:r>
      <w:bookmarkEnd w:id="162"/>
      <w:bookmarkEnd w:id="173"/>
      <w:bookmarkEnd w:id="174"/>
    </w:p>
    <w:p>
      <w:pPr>
        <w:adjustRightInd w:val="0"/>
        <w:snapToGrid w:val="0"/>
        <w:spacing w:line="360" w:lineRule="auto"/>
        <w:ind w:firstLine="420" w:firstLineChars="200"/>
        <w:rPr>
          <w:rFonts w:ascii="仿宋_GB2312" w:hAnsi="仿宋_GB2312" w:eastAsia="仿宋_GB2312" w:cs="仿宋_GB2312"/>
          <w:b/>
          <w:kern w:val="0"/>
          <w:szCs w:val="21"/>
        </w:rPr>
      </w:pPr>
      <w:r>
        <w:rPr>
          <w:rFonts w:hint="eastAsia" w:ascii="仿宋_GB2312" w:hAnsi="仿宋_GB2312" w:eastAsia="仿宋_GB2312" w:cs="仿宋_GB2312"/>
          <w:bCs/>
          <w:kern w:val="0"/>
          <w:szCs w:val="21"/>
        </w:rPr>
        <w:t>本项目将按照招标文件第一章投标人须知中“六 开标及评标”、“七 确定中标”及本章的规定评标。</w:t>
      </w:r>
    </w:p>
    <w:p>
      <w:pPr>
        <w:adjustRightInd w:val="0"/>
        <w:snapToGrid w:val="0"/>
        <w:spacing w:line="360" w:lineRule="auto"/>
        <w:ind w:firstLine="420" w:firstLineChars="200"/>
        <w:rPr>
          <w:rFonts w:ascii="仿宋_GB2312" w:hAnsi="仿宋_GB2312" w:eastAsia="仿宋_GB2312" w:cs="仿宋_GB2312"/>
          <w:b/>
          <w:kern w:val="0"/>
          <w:szCs w:val="21"/>
        </w:rPr>
      </w:pPr>
      <w:bookmarkStart w:id="175" w:name="_Toc22313_WPSOffice_Level2"/>
      <w:r>
        <w:rPr>
          <w:rFonts w:hint="eastAsia" w:ascii="仿宋_GB2312" w:hAnsi="仿宋_GB2312" w:eastAsia="仿宋_GB2312" w:cs="仿宋_GB2312"/>
          <w:b/>
          <w:kern w:val="0"/>
          <w:szCs w:val="21"/>
        </w:rPr>
        <w:t>一、评标方法</w:t>
      </w:r>
      <w:bookmarkEnd w:id="175"/>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本项目采用</w:t>
      </w:r>
      <w:r>
        <w:rPr>
          <w:rFonts w:hint="eastAsia" w:ascii="仿宋_GB2312" w:hAnsi="仿宋_GB2312" w:eastAsia="仿宋_GB2312" w:cs="仿宋_GB2312"/>
          <w:kern w:val="0"/>
          <w:szCs w:val="21"/>
          <w:u w:val="single"/>
        </w:rPr>
        <w:t>综合评分法</w:t>
      </w:r>
      <w:r>
        <w:rPr>
          <w:rFonts w:hint="eastAsia" w:ascii="仿宋_GB2312" w:hAnsi="仿宋_GB2312" w:eastAsia="仿宋_GB2312" w:cs="仿宋_GB2312"/>
          <w:kern w:val="0"/>
          <w:szCs w:val="21"/>
        </w:rPr>
        <w:t>进行评标。</w:t>
      </w:r>
    </w:p>
    <w:p>
      <w:pPr>
        <w:adjustRightInd w:val="0"/>
        <w:snapToGrid w:val="0"/>
        <w:spacing w:line="360" w:lineRule="auto"/>
        <w:ind w:firstLine="420" w:firstLineChars="200"/>
        <w:textAlignment w:val="baseline"/>
        <w:rPr>
          <w:rFonts w:ascii="仿宋_GB2312" w:hAnsi="仿宋_GB2312" w:eastAsia="仿宋_GB2312" w:cs="仿宋_GB2312"/>
          <w:b/>
          <w:kern w:val="0"/>
          <w:szCs w:val="21"/>
        </w:rPr>
      </w:pPr>
      <w:bookmarkStart w:id="176" w:name="_Toc21368_WPSOffice_Level2"/>
      <w:r>
        <w:rPr>
          <w:rFonts w:hint="eastAsia" w:ascii="仿宋_GB2312" w:hAnsi="仿宋_GB2312" w:eastAsia="仿宋_GB2312" w:cs="仿宋_GB2312"/>
          <w:b/>
          <w:kern w:val="0"/>
          <w:szCs w:val="21"/>
        </w:rPr>
        <w:t>二、评标原则及程序</w:t>
      </w:r>
      <w:bookmarkEnd w:id="176"/>
    </w:p>
    <w:p>
      <w:pPr>
        <w:adjustRightInd w:val="0"/>
        <w:snapToGrid w:val="0"/>
        <w:spacing w:line="360" w:lineRule="auto"/>
        <w:ind w:firstLine="420" w:firstLineChars="200"/>
        <w:textAlignment w:val="baseline"/>
        <w:rPr>
          <w:rFonts w:ascii="仿宋_GB2312" w:hAnsi="仿宋_GB2312" w:eastAsia="仿宋_GB2312" w:cs="仿宋_GB2312"/>
          <w:b/>
          <w:kern w:val="0"/>
          <w:szCs w:val="21"/>
        </w:rPr>
      </w:pPr>
      <w:r>
        <w:rPr>
          <w:rFonts w:hint="eastAsia" w:ascii="仿宋_GB2312" w:hAnsi="仿宋_GB2312" w:eastAsia="仿宋_GB2312" w:cs="仿宋_GB2312"/>
          <w:b/>
          <w:kern w:val="0"/>
          <w:szCs w:val="21"/>
        </w:rPr>
        <w:t>（一）评标原则</w:t>
      </w:r>
    </w:p>
    <w:p>
      <w:pPr>
        <w:adjustRightInd w:val="0"/>
        <w:snapToGrid w:val="0"/>
        <w:spacing w:line="360" w:lineRule="auto"/>
        <w:ind w:firstLine="420" w:firstLineChars="200"/>
        <w:textAlignment w:val="baseline"/>
        <w:rPr>
          <w:rFonts w:ascii="仿宋_GB2312" w:hAnsi="仿宋_GB2312" w:eastAsia="仿宋_GB2312" w:cs="仿宋_GB2312"/>
          <w:b/>
          <w:kern w:val="0"/>
          <w:szCs w:val="21"/>
        </w:rPr>
      </w:pPr>
      <w:r>
        <w:rPr>
          <w:rFonts w:hint="eastAsia" w:ascii="仿宋_GB2312" w:hAnsi="仿宋_GB2312" w:eastAsia="仿宋_GB2312" w:cs="仿宋_GB2312"/>
          <w:kern w:val="0"/>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pPr>
        <w:adjustRightInd w:val="0"/>
        <w:snapToGrid w:val="0"/>
        <w:spacing w:line="360" w:lineRule="auto"/>
        <w:ind w:firstLine="420" w:firstLineChars="200"/>
        <w:textAlignment w:val="baseline"/>
        <w:rPr>
          <w:rFonts w:ascii="仿宋_GB2312" w:hAnsi="仿宋_GB2312" w:eastAsia="仿宋_GB2312" w:cs="仿宋_GB2312"/>
          <w:b/>
          <w:kern w:val="0"/>
          <w:szCs w:val="21"/>
        </w:rPr>
      </w:pPr>
      <w:r>
        <w:rPr>
          <w:rFonts w:hint="eastAsia" w:ascii="仿宋_GB2312" w:hAnsi="仿宋_GB2312" w:eastAsia="仿宋_GB2312" w:cs="仿宋_GB2312"/>
          <w:b/>
          <w:kern w:val="0"/>
          <w:szCs w:val="21"/>
        </w:rPr>
        <w:t>（二）评标程序</w:t>
      </w:r>
    </w:p>
    <w:p>
      <w:pPr>
        <w:adjustRightInd w:val="0"/>
        <w:snapToGrid w:val="0"/>
        <w:spacing w:line="360" w:lineRule="auto"/>
        <w:ind w:firstLine="420" w:firstLineChars="200"/>
        <w:textAlignment w:val="baseline"/>
        <w:rPr>
          <w:rFonts w:ascii="仿宋_GB2312" w:hAnsi="仿宋_GB2312" w:eastAsia="仿宋_GB2312" w:cs="仿宋_GB2312"/>
          <w:b/>
          <w:kern w:val="0"/>
          <w:szCs w:val="21"/>
        </w:rPr>
      </w:pPr>
      <w:r>
        <w:rPr>
          <w:rFonts w:hint="eastAsia" w:ascii="仿宋_GB2312" w:hAnsi="仿宋_GB2312" w:eastAsia="仿宋_GB2312" w:cs="仿宋_GB2312"/>
          <w:b/>
          <w:kern w:val="0"/>
          <w:szCs w:val="21"/>
        </w:rPr>
        <w:t>★1、资格审查</w:t>
      </w:r>
    </w:p>
    <w:p>
      <w:pPr>
        <w:adjustRightInd w:val="0"/>
        <w:snapToGrid w:val="0"/>
        <w:spacing w:line="360" w:lineRule="auto"/>
        <w:ind w:firstLine="420" w:firstLineChars="200"/>
        <w:textAlignment w:val="baseline"/>
        <w:rPr>
          <w:rFonts w:ascii="仿宋_GB2312" w:hAnsi="仿宋_GB2312" w:eastAsia="仿宋_GB2312" w:cs="仿宋_GB2312"/>
          <w:kern w:val="0"/>
          <w:szCs w:val="21"/>
        </w:rPr>
      </w:pPr>
      <w:r>
        <w:rPr>
          <w:rFonts w:hint="eastAsia" w:ascii="仿宋_GB2312" w:hAnsi="仿宋_GB2312" w:eastAsia="仿宋_GB2312" w:cs="仿宋_GB2312"/>
          <w:kern w:val="0"/>
          <w:szCs w:val="21"/>
        </w:rPr>
        <w:t>1.1详见投标人须知22条。资格审查表详见本章附件1。</w:t>
      </w:r>
    </w:p>
    <w:p>
      <w:pPr>
        <w:adjustRightInd w:val="0"/>
        <w:snapToGrid w:val="0"/>
        <w:spacing w:line="360" w:lineRule="auto"/>
        <w:ind w:firstLine="420"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w:t>
      </w:r>
      <w:r>
        <w:rPr>
          <w:rFonts w:hint="eastAsia" w:ascii="仿宋_GB2312" w:hAnsi="仿宋_GB2312" w:eastAsia="仿宋_GB2312" w:cs="仿宋_GB2312"/>
          <w:b/>
          <w:bCs/>
          <w:kern w:val="0"/>
          <w:szCs w:val="21"/>
        </w:rPr>
        <w:t>2、符合性审查</w:t>
      </w:r>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2.1详见投标人须知23条。符合性审查表详见本章附件2。</w:t>
      </w:r>
    </w:p>
    <w:p>
      <w:pPr>
        <w:adjustRightInd w:val="0"/>
        <w:snapToGrid w:val="0"/>
        <w:spacing w:line="360" w:lineRule="auto"/>
        <w:ind w:firstLine="420" w:firstLineChars="200"/>
        <w:rPr>
          <w:rFonts w:ascii="仿宋_GB2312" w:hAnsi="仿宋_GB2312" w:eastAsia="仿宋_GB2312" w:cs="仿宋_GB2312"/>
          <w:b/>
          <w:kern w:val="0"/>
          <w:szCs w:val="21"/>
        </w:rPr>
      </w:pPr>
      <w:r>
        <w:rPr>
          <w:rFonts w:hint="eastAsia" w:ascii="仿宋_GB2312" w:hAnsi="仿宋_GB2312" w:eastAsia="仿宋_GB2312" w:cs="仿宋_GB2312"/>
          <w:b/>
          <w:kern w:val="0"/>
          <w:szCs w:val="21"/>
        </w:rPr>
        <w:t>3、样品及演示</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3.1</w:t>
      </w:r>
      <w:r>
        <w:rPr>
          <w:rFonts w:hint="eastAsia" w:ascii="仿宋_GB2312" w:hAnsi="仿宋_GB2312" w:eastAsia="仿宋_GB2312" w:cs="仿宋_GB2312"/>
          <w:kern w:val="0"/>
          <w:szCs w:val="21"/>
        </w:rPr>
        <w:t>投标人须知表11.3条</w:t>
      </w:r>
      <w:r>
        <w:rPr>
          <w:rFonts w:hint="eastAsia" w:ascii="仿宋_GB2312" w:hAnsi="仿宋_GB2312" w:eastAsia="仿宋_GB2312" w:cs="仿宋_GB2312"/>
          <w:szCs w:val="21"/>
        </w:rPr>
        <w:t>中要求投标人提供样品或演示的，按照</w:t>
      </w:r>
      <w:r>
        <w:rPr>
          <w:rFonts w:hint="eastAsia" w:ascii="仿宋_GB2312" w:hAnsi="仿宋_GB2312" w:eastAsia="仿宋_GB2312" w:cs="仿宋_GB2312"/>
          <w:kern w:val="0"/>
          <w:szCs w:val="21"/>
        </w:rPr>
        <w:t>投标人须知表25.1条</w:t>
      </w:r>
      <w:r>
        <w:rPr>
          <w:rFonts w:hint="eastAsia" w:ascii="仿宋_GB2312" w:hAnsi="仿宋_GB2312" w:eastAsia="仿宋_GB2312" w:cs="仿宋_GB2312"/>
          <w:szCs w:val="21"/>
        </w:rPr>
        <w:t>中确定的评审方法以及评审标准进行评审。(样品或演示属于符合性审查的，按照</w:t>
      </w:r>
      <w:r>
        <w:rPr>
          <w:rFonts w:hint="eastAsia" w:ascii="仿宋_GB2312" w:hAnsi="仿宋_GB2312" w:eastAsia="仿宋_GB2312" w:cs="仿宋_GB2312"/>
          <w:kern w:val="0"/>
          <w:szCs w:val="21"/>
        </w:rPr>
        <w:t>投标人须知23条</w:t>
      </w:r>
      <w:r>
        <w:rPr>
          <w:rFonts w:hint="eastAsia" w:ascii="仿宋_GB2312" w:hAnsi="仿宋_GB2312" w:eastAsia="仿宋_GB2312" w:cs="仿宋_GB2312"/>
          <w:szCs w:val="21"/>
        </w:rPr>
        <w:t>规定执行）</w:t>
      </w:r>
    </w:p>
    <w:p>
      <w:pPr>
        <w:adjustRightInd w:val="0"/>
        <w:snapToGrid w:val="0"/>
        <w:spacing w:line="360" w:lineRule="auto"/>
        <w:ind w:firstLine="420"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★4</w:t>
      </w:r>
      <w:r>
        <w:rPr>
          <w:rFonts w:hint="eastAsia" w:ascii="仿宋_GB2312" w:hAnsi="仿宋_GB2312" w:eastAsia="仿宋_GB2312" w:cs="仿宋_GB2312"/>
          <w:b/>
          <w:bCs/>
          <w:kern w:val="0"/>
          <w:szCs w:val="21"/>
        </w:rPr>
        <w:t>、比较及评价</w:t>
      </w:r>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5.1评标委员会对通过符合性审查的投标文件进行比较和评价。</w:t>
      </w:r>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5.2在评标期间，对投标文件的澄清按投标人须知24条内容执行。</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5.3评标委员会认为投标人的报价明显低于其他通过符合性审查的投标人报价，有可能影响服务质量或者不能诚信履约的，评标委员会应当要求其在评标现场合理的时间（</w:t>
      </w:r>
      <w:r>
        <w:rPr>
          <w:rFonts w:hint="eastAsia" w:ascii="仿宋_GB2312" w:hAnsi="仿宋_GB2312" w:eastAsia="仿宋_GB2312" w:cs="仿宋_GB2312"/>
          <w:kern w:val="0"/>
          <w:szCs w:val="21"/>
        </w:rPr>
        <w:t>接到通知后</w:t>
      </w:r>
      <w:r>
        <w:rPr>
          <w:rFonts w:hint="eastAsia" w:ascii="仿宋_GB2312" w:hAnsi="仿宋_GB2312" w:eastAsia="仿宋_GB2312" w:cs="仿宋_GB2312"/>
          <w:kern w:val="0"/>
          <w:szCs w:val="21"/>
          <w:u w:val="single"/>
        </w:rPr>
        <w:t xml:space="preserve"> </w:t>
      </w:r>
      <w:r>
        <w:rPr>
          <w:rFonts w:ascii="仿宋_GB2312" w:hAnsi="仿宋_GB2312" w:eastAsia="仿宋_GB2312" w:cs="仿宋_GB2312"/>
          <w:kern w:val="0"/>
          <w:szCs w:val="21"/>
          <w:u w:val="single"/>
        </w:rPr>
        <w:t>0.5</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小时</w:t>
      </w:r>
      <w:r>
        <w:rPr>
          <w:rFonts w:hint="eastAsia" w:ascii="仿宋_GB2312" w:hAnsi="仿宋_GB2312" w:eastAsia="仿宋_GB2312" w:cs="仿宋_GB2312"/>
          <w:szCs w:val="21"/>
        </w:rPr>
        <w:t>）内提供书面说明，并提交相关证明材料，</w:t>
      </w:r>
      <w:r>
        <w:rPr>
          <w:rFonts w:hint="eastAsia" w:ascii="仿宋_GB2312" w:hAnsi="仿宋_GB2312" w:eastAsia="仿宋_GB2312" w:cs="仿宋_GB2312"/>
          <w:kern w:val="0"/>
          <w:szCs w:val="21"/>
        </w:rPr>
        <w:t>投标人不能证明其报价合理性的，评标委员会应当将</w:t>
      </w:r>
      <w:r>
        <w:rPr>
          <w:rFonts w:hint="eastAsia" w:ascii="仿宋_GB2312" w:hAnsi="仿宋_GB2312" w:eastAsia="仿宋_GB2312" w:cs="仿宋_GB2312"/>
          <w:szCs w:val="21"/>
        </w:rPr>
        <w:t>其投标作为</w:t>
      </w:r>
      <w:r>
        <w:rPr>
          <w:rFonts w:hint="eastAsia" w:ascii="仿宋_GB2312" w:hAnsi="仿宋_GB2312" w:eastAsia="仿宋_GB2312" w:cs="仿宋_GB2312"/>
          <w:b/>
          <w:bCs/>
          <w:szCs w:val="21"/>
        </w:rPr>
        <w:t>无效投标处理</w:t>
      </w:r>
      <w:r>
        <w:rPr>
          <w:rFonts w:hint="eastAsia" w:ascii="仿宋_GB2312" w:hAnsi="仿宋_GB2312" w:eastAsia="仿宋_GB2312" w:cs="仿宋_GB2312"/>
          <w:szCs w:val="21"/>
        </w:rPr>
        <w:t>。</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投标人的书面说明材料包含服务本身成本、人工费用、运输、税收等，以及报价不会影响服务质量或诚信履约能力的说明等。</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投标人的书面说明应当签字确认或者加盖公章，否则无效。书面说明的签字确认，由其法定代表人（非法人单位负责人或自然人本人）或者其授权代表签字确认。</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投标人提供书面说明后，评标委员会应当结合采购项目采购需求、专业实际情况、投标人财务状况报告、与其他投标人比较情况等就投标人的书面说明进行审查评价。投标人如有下列情况的，评标委员会应当将其投标文件作为无效处理：</w:t>
      </w:r>
    </w:p>
    <w:p>
      <w:pPr>
        <w:numPr>
          <w:ilvl w:val="0"/>
          <w:numId w:val="5"/>
        </w:num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拒绝或者变相拒绝提供有效书面说明；</w:t>
      </w:r>
    </w:p>
    <w:p>
      <w:pPr>
        <w:numPr>
          <w:ilvl w:val="0"/>
          <w:numId w:val="5"/>
        </w:num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书面说明不能证明其报价合理性的；</w:t>
      </w:r>
    </w:p>
    <w:p>
      <w:pPr>
        <w:numPr>
          <w:ilvl w:val="0"/>
          <w:numId w:val="5"/>
        </w:num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未在规定时间内递交有效书面说明书的。</w:t>
      </w:r>
    </w:p>
    <w:p>
      <w:pPr>
        <w:adjustRightInd w:val="0"/>
        <w:snapToGrid w:val="0"/>
        <w:spacing w:line="360" w:lineRule="auto"/>
        <w:ind w:firstLine="420"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★5</w:t>
      </w:r>
      <w:r>
        <w:rPr>
          <w:rFonts w:hint="eastAsia" w:ascii="仿宋_GB2312" w:hAnsi="仿宋_GB2312" w:eastAsia="仿宋_GB2312" w:cs="仿宋_GB2312"/>
          <w:b/>
          <w:bCs/>
          <w:kern w:val="0"/>
          <w:szCs w:val="21"/>
        </w:rPr>
        <w:t>、需落实的政府采购政策性规定：</w:t>
      </w:r>
    </w:p>
    <w:p>
      <w:pPr>
        <w:adjustRightInd w:val="0"/>
        <w:snapToGrid w:val="0"/>
        <w:spacing w:line="360" w:lineRule="auto"/>
        <w:ind w:firstLine="420" w:firstLineChars="200"/>
        <w:rPr>
          <w:rFonts w:ascii="仿宋_GB2312" w:hAnsi="仿宋_GB2312" w:eastAsia="仿宋_GB2312" w:cs="仿宋_GB2312"/>
          <w:b/>
          <w:kern w:val="0"/>
          <w:szCs w:val="21"/>
        </w:rPr>
      </w:pPr>
      <w:r>
        <w:rPr>
          <w:rFonts w:hint="eastAsia" w:ascii="仿宋_GB2312" w:hAnsi="仿宋_GB2312" w:eastAsia="仿宋_GB2312" w:cs="仿宋_GB2312"/>
          <w:b/>
          <w:kern w:val="0"/>
          <w:szCs w:val="21"/>
        </w:rPr>
        <w:t>5.1对于中小微企业的相关规定</w:t>
      </w:r>
    </w:p>
    <w:p>
      <w:p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5.1.1对于非专门面向中小企业的项目，在满足价格扣除条件且在投标文件中按要求提交了《中小企业声明函》</w:t>
      </w:r>
      <w:r>
        <w:rPr>
          <w:rFonts w:hint="eastAsia" w:ascii="仿宋_GB2312" w:hAnsi="仿宋_GB2312" w:eastAsia="仿宋_GB2312" w:cs="仿宋_GB2312"/>
          <w:kern w:val="0"/>
          <w:szCs w:val="21"/>
        </w:rPr>
        <w:t>的，</w:t>
      </w:r>
      <w:r>
        <w:rPr>
          <w:rFonts w:hint="eastAsia" w:ascii="仿宋_GB2312" w:hAnsi="仿宋_GB2312" w:eastAsia="仿宋_GB2312" w:cs="仿宋_GB2312"/>
          <w:szCs w:val="21"/>
        </w:rPr>
        <w:t>对投标报价给予价格扣除，用扣除后的价格参与评审。投标报价扣除比例如下：</w:t>
      </w:r>
    </w:p>
    <w:p>
      <w:pPr>
        <w:adjustRightInd w:val="0"/>
        <w:snapToGrid w:val="0"/>
        <w:spacing w:line="360" w:lineRule="auto"/>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（1）非联合体投标</w:t>
      </w:r>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 xml:space="preserve">       小型和微型企业相应产品、服务投标报价的</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kern w:val="0"/>
          <w:szCs w:val="21"/>
          <w:u w:val="single"/>
        </w:rPr>
        <w:t xml:space="preserve"> </w:t>
      </w:r>
      <w:r>
        <w:rPr>
          <w:rFonts w:ascii="仿宋_GB2312" w:hAnsi="仿宋_GB2312" w:eastAsia="仿宋_GB2312" w:cs="仿宋_GB2312"/>
          <w:szCs w:val="21"/>
          <w:u w:val="single"/>
        </w:rPr>
        <w:t>/</w:t>
      </w:r>
      <w:r>
        <w:rPr>
          <w:rFonts w:hint="eastAsia" w:ascii="仿宋_GB2312" w:hAnsi="仿宋_GB2312" w:eastAsia="仿宋_GB2312" w:cs="仿宋_GB2312"/>
          <w:kern w:val="0"/>
          <w:szCs w:val="21"/>
          <w:u w:val="single"/>
        </w:rPr>
        <w:t xml:space="preserve"> </w:t>
      </w:r>
      <w:r>
        <w:rPr>
          <w:rFonts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w:t>
      </w:r>
      <w:r>
        <w:rPr>
          <w:rFonts w:ascii="仿宋_GB2312" w:hAnsi="仿宋_GB2312" w:eastAsia="仿宋_GB2312" w:cs="仿宋_GB2312"/>
          <w:szCs w:val="21"/>
        </w:rPr>
        <w:t>10</w:t>
      </w:r>
      <w:r>
        <w:rPr>
          <w:rFonts w:hint="eastAsia" w:ascii="仿宋_GB2312" w:hAnsi="仿宋_GB2312" w:eastAsia="仿宋_GB2312" w:cs="仿宋_GB2312"/>
          <w:szCs w:val="21"/>
        </w:rPr>
        <w:t>-</w:t>
      </w:r>
      <w:bookmarkStart w:id="177" w:name="_Hlk144372709"/>
      <w:r>
        <w:rPr>
          <w:rFonts w:ascii="仿宋_GB2312" w:hAnsi="仿宋_GB2312" w:eastAsia="仿宋_GB2312" w:cs="仿宋_GB2312"/>
          <w:szCs w:val="21"/>
        </w:rPr>
        <w:t>2</w:t>
      </w:r>
      <w:r>
        <w:rPr>
          <w:rFonts w:hint="eastAsia" w:ascii="仿宋_GB2312" w:hAnsi="仿宋_GB2312" w:eastAsia="仿宋_GB2312" w:cs="仿宋_GB2312"/>
          <w:szCs w:val="21"/>
        </w:rPr>
        <w:t>0%</w:t>
      </w:r>
      <w:bookmarkEnd w:id="177"/>
      <w:r>
        <w:rPr>
          <w:rFonts w:hint="eastAsia" w:ascii="仿宋_GB2312" w:hAnsi="仿宋_GB2312" w:eastAsia="仿宋_GB2312" w:cs="仿宋_GB2312"/>
          <w:szCs w:val="21"/>
        </w:rPr>
        <w:t>）</w:t>
      </w:r>
    </w:p>
    <w:p>
      <w:pPr>
        <w:adjustRightInd w:val="0"/>
        <w:snapToGrid w:val="0"/>
        <w:spacing w:line="360" w:lineRule="auto"/>
        <w:ind w:firstLine="21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（2）联合体投标</w:t>
      </w:r>
    </w:p>
    <w:p>
      <w:p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投标报价扣除</w:t>
      </w:r>
      <w:r>
        <w:rPr>
          <w:rFonts w:hint="eastAsia" w:ascii="仿宋_GB2312" w:hAnsi="仿宋_GB2312" w:eastAsia="仿宋_GB2312" w:cs="仿宋_GB2312"/>
          <w:kern w:val="0"/>
          <w:szCs w:val="21"/>
          <w:u w:val="single"/>
        </w:rPr>
        <w:t xml:space="preserve">   </w:t>
      </w:r>
      <w:bookmarkStart w:id="178" w:name="_Hlk144386515"/>
      <w:r>
        <w:rPr>
          <w:rFonts w:ascii="仿宋_GB2312" w:hAnsi="仿宋_GB2312" w:eastAsia="仿宋_GB2312" w:cs="仿宋_GB2312"/>
          <w:kern w:val="0"/>
          <w:szCs w:val="21"/>
          <w:u w:val="single"/>
        </w:rPr>
        <w:t>/</w:t>
      </w:r>
      <w:bookmarkEnd w:id="178"/>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w:t>
      </w:r>
      <w:r>
        <w:rPr>
          <w:rFonts w:ascii="仿宋_GB2312" w:hAnsi="仿宋_GB2312" w:eastAsia="仿宋_GB2312" w:cs="仿宋_GB2312"/>
          <w:szCs w:val="21"/>
        </w:rPr>
        <w:t>4</w:t>
      </w:r>
      <w:r>
        <w:rPr>
          <w:rFonts w:hint="eastAsia" w:ascii="仿宋_GB2312" w:hAnsi="仿宋_GB2312" w:eastAsia="仿宋_GB2312" w:cs="仿宋_GB2312"/>
          <w:szCs w:val="21"/>
        </w:rPr>
        <w:t>-</w:t>
      </w:r>
      <w:r>
        <w:rPr>
          <w:rFonts w:ascii="仿宋_GB2312" w:hAnsi="仿宋_GB2312" w:eastAsia="仿宋_GB2312" w:cs="仿宋_GB2312"/>
          <w:szCs w:val="21"/>
        </w:rPr>
        <w:t>6</w:t>
      </w:r>
      <w:r>
        <w:rPr>
          <w:rFonts w:hint="eastAsia" w:ascii="仿宋_GB2312" w:hAnsi="仿宋_GB2312" w:eastAsia="仿宋_GB2312" w:cs="仿宋_GB2312"/>
          <w:szCs w:val="21"/>
        </w:rPr>
        <w:t>%）。</w:t>
      </w:r>
    </w:p>
    <w:p>
      <w:p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 xml:space="preserve">联合体各方均为小型、微型企业的，联合体视同为小型、微型企业，按第本款（1）条规定享受扶持政策。组成联合体的大中型企业和其他自然人、法人或者其他组织，与小型、微型企业之间不得存在投资关系。 </w:t>
      </w:r>
    </w:p>
    <w:p>
      <w:p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5.1.2监狱企业视同小型、微型企业，在满足价格扣除条件且在投标文件中按要求提交了省级以上监狱管理局、戒毒管理局（含新疆生产建设兵团）出具的属于监狱企业的证明文件的，对其投标报价按本章5.1.1条款的比例予以扣除，</w:t>
      </w:r>
      <w:r>
        <w:rPr>
          <w:rFonts w:hint="eastAsia" w:ascii="仿宋_GB2312" w:hAnsi="仿宋_GB2312" w:eastAsia="仿宋_GB2312" w:cs="仿宋_GB2312"/>
          <w:kern w:val="0"/>
          <w:szCs w:val="21"/>
        </w:rPr>
        <w:t>用扣除后的价格参与评审</w:t>
      </w:r>
      <w:r>
        <w:rPr>
          <w:rFonts w:hint="eastAsia" w:ascii="仿宋_GB2312" w:hAnsi="仿宋_GB2312" w:eastAsia="仿宋_GB2312" w:cs="仿宋_GB2312"/>
          <w:szCs w:val="21"/>
        </w:rPr>
        <w:t>。</w:t>
      </w:r>
    </w:p>
    <w:p>
      <w:p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b/>
          <w:kern w:val="0"/>
          <w:szCs w:val="21"/>
        </w:rPr>
        <w:t>5.1.3</w:t>
      </w:r>
      <w:r>
        <w:rPr>
          <w:rFonts w:hint="eastAsia" w:ascii="仿宋_GB2312" w:hAnsi="仿宋_GB2312" w:eastAsia="仿宋_GB2312" w:cs="仿宋_GB2312"/>
          <w:szCs w:val="21"/>
        </w:rPr>
        <w:t>残疾人福利性单位视同小型、微型企业，在满足价格扣除条件且在</w:t>
      </w:r>
      <w:r>
        <w:rPr>
          <w:rFonts w:hint="eastAsia" w:ascii="仿宋_GB2312" w:hAnsi="仿宋_GB2312" w:eastAsia="仿宋_GB2312" w:cs="仿宋_GB2312"/>
          <w:kern w:val="0"/>
          <w:szCs w:val="21"/>
        </w:rPr>
        <w:t>投标文件中提供了《残疾人福利性单位声明函》的，</w:t>
      </w:r>
      <w:r>
        <w:rPr>
          <w:rFonts w:hint="eastAsia" w:ascii="仿宋_GB2312" w:hAnsi="仿宋_GB2312" w:eastAsia="仿宋_GB2312" w:cs="仿宋_GB2312"/>
          <w:szCs w:val="21"/>
        </w:rPr>
        <w:t>对其投标报价按本章5.1.1条款的比例予以扣除</w:t>
      </w:r>
      <w:r>
        <w:rPr>
          <w:rFonts w:hint="eastAsia" w:ascii="仿宋_GB2312" w:hAnsi="仿宋_GB2312" w:eastAsia="仿宋_GB2312" w:cs="仿宋_GB2312"/>
          <w:kern w:val="0"/>
          <w:szCs w:val="21"/>
        </w:rPr>
        <w:t>，用扣除后的价格参与评审。</w:t>
      </w:r>
    </w:p>
    <w:p>
      <w:pPr>
        <w:adjustRightInd w:val="0"/>
        <w:snapToGrid w:val="0"/>
        <w:spacing w:line="360" w:lineRule="auto"/>
        <w:ind w:firstLine="420" w:firstLineChars="200"/>
        <w:rPr>
          <w:rFonts w:ascii="仿宋_GB2312" w:hAnsi="仿宋_GB2312" w:eastAsia="仿宋_GB2312" w:cs="仿宋_GB2312"/>
          <w:b/>
          <w:szCs w:val="21"/>
        </w:rPr>
      </w:pPr>
      <w:r>
        <w:rPr>
          <w:rFonts w:hint="eastAsia" w:ascii="仿宋_GB2312" w:hAnsi="仿宋_GB2312" w:eastAsia="仿宋_GB2312" w:cs="仿宋_GB2312"/>
          <w:b/>
          <w:szCs w:val="21"/>
        </w:rPr>
        <w:t>5.1.4残疾人福利性单位属于小型、微型企业的，不重复享受政策。</w:t>
      </w:r>
    </w:p>
    <w:p>
      <w:pPr>
        <w:adjustRightInd w:val="0"/>
        <w:spacing w:line="360" w:lineRule="auto"/>
        <w:ind w:firstLine="420" w:firstLineChars="200"/>
        <w:jc w:val="left"/>
        <w:rPr>
          <w:rFonts w:ascii="仿宋_GB2312" w:hAnsi="仿宋_GB2312" w:eastAsia="仿宋_GB2312" w:cs="仿宋_GB2312"/>
          <w:b/>
          <w:bCs/>
          <w:szCs w:val="21"/>
        </w:rPr>
      </w:pPr>
      <w:r>
        <w:rPr>
          <w:rFonts w:hint="eastAsia" w:ascii="仿宋_GB2312" w:hAnsi="仿宋_GB2312" w:eastAsia="仿宋_GB2312" w:cs="仿宋_GB2312"/>
          <w:b/>
          <w:bCs/>
          <w:szCs w:val="21"/>
        </w:rPr>
        <w:t>5.2对于节能产品、环境标志产品的相关规定</w:t>
      </w:r>
    </w:p>
    <w:p>
      <w:p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1）招标人招标的服务有伴随货物的，如伴随的货物属于节能产品或环境标志产品，依据品目清单和认证证书实施政府优先采购。供应商应能够提供国家确定的认证机构出具的、处于有效期之内的节能产品、环境标志产品认证证书，方可对获得证书的产品优先推荐。</w:t>
      </w:r>
    </w:p>
    <w:p>
      <w:pPr>
        <w:adjustRightInd w:val="0"/>
        <w:snapToGrid w:val="0"/>
        <w:spacing w:line="360" w:lineRule="auto"/>
        <w:ind w:firstLine="630" w:firstLineChars="300"/>
        <w:jc w:val="left"/>
        <w:rPr>
          <w:rFonts w:ascii="仿宋_GB2312" w:hAnsi="仿宋_GB2312" w:eastAsia="仿宋_GB2312" w:cs="仿宋_GB2312"/>
          <w:szCs w:val="21"/>
        </w:rPr>
      </w:pPr>
      <w:r>
        <w:rPr>
          <w:rFonts w:hint="eastAsia" w:ascii="仿宋_GB2312" w:hAnsi="仿宋_GB2312" w:eastAsia="仿宋_GB2312" w:cs="仿宋_GB2312"/>
          <w:kern w:val="0"/>
          <w:szCs w:val="21"/>
        </w:rPr>
        <w:t>采用综合评分法评标的项目，对清单中产品给予相应的加分。（详见评分细则）</w:t>
      </w:r>
    </w:p>
    <w:p>
      <w:pPr>
        <w:adjustRightIn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（2）投标人应同时提供品目清单网络截图，并以明确标注所报产品信息和位置的方式，用以方便评审。</w:t>
      </w:r>
    </w:p>
    <w:p>
      <w:pPr>
        <w:adjustRightIn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（3）认证机构和获证产品信息发布媒体：详见中国政府采购网（www.ccgp.gov.cn）建立的与认证结果信息发布平台的链接。</w:t>
      </w:r>
    </w:p>
    <w:p>
      <w:pPr>
        <w:adjustRightInd w:val="0"/>
        <w:snapToGrid w:val="0"/>
        <w:spacing w:line="360" w:lineRule="auto"/>
        <w:ind w:firstLine="420" w:firstLineChars="200"/>
        <w:rPr>
          <w:rFonts w:ascii="仿宋_GB2312" w:hAnsi="仿宋_GB2312" w:eastAsia="仿宋_GB2312" w:cs="仿宋_GB2312"/>
          <w:b/>
          <w:kern w:val="0"/>
          <w:szCs w:val="21"/>
        </w:rPr>
      </w:pPr>
      <w:r>
        <w:rPr>
          <w:rFonts w:hint="eastAsia" w:ascii="仿宋_GB2312" w:hAnsi="仿宋_GB2312" w:eastAsia="仿宋_GB2312" w:cs="仿宋_GB2312"/>
          <w:b/>
          <w:kern w:val="0"/>
          <w:szCs w:val="21"/>
        </w:rPr>
        <w:t>5.3对于聘用建档立卡贫困人员物业公司的相关规定</w:t>
      </w:r>
    </w:p>
    <w:p>
      <w:pPr>
        <w:adjustRightInd w:val="0"/>
        <w:spacing w:line="360" w:lineRule="auto"/>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在满足价格扣除条件且在投标文件中按要求提交了《聘用建档立卡贫困人员物业公司声明函》的供应商，对最后报价给予价格扣除，用扣除后的价格参与评审。扣除比例为最后</w:t>
      </w:r>
      <w:r>
        <w:rPr>
          <w:rFonts w:hint="eastAsia" w:ascii="仿宋_GB2312" w:hAnsi="仿宋_GB2312" w:eastAsia="仿宋_GB2312" w:cs="仿宋_GB2312"/>
          <w:kern w:val="0"/>
          <w:szCs w:val="21"/>
        </w:rPr>
        <w:t>报价的</w:t>
      </w:r>
      <w:r>
        <w:rPr>
          <w:rFonts w:hint="eastAsia" w:ascii="仿宋_GB2312" w:hAnsi="仿宋_GB2312" w:eastAsia="仿宋_GB2312" w:cs="仿宋_GB2312"/>
          <w:szCs w:val="21"/>
          <w:u w:val="single"/>
        </w:rPr>
        <w:t xml:space="preserve">   </w:t>
      </w:r>
      <w:r>
        <w:rPr>
          <w:rFonts w:ascii="仿宋_GB2312" w:hAnsi="仿宋_GB2312" w:eastAsia="仿宋_GB2312" w:cs="仿宋_GB2312"/>
          <w:kern w:val="0"/>
          <w:szCs w:val="21"/>
          <w:u w:val="single"/>
        </w:rPr>
        <w:t>/</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w:t>
      </w:r>
    </w:p>
    <w:p>
      <w:pPr>
        <w:adjustRightInd w:val="0"/>
        <w:spacing w:line="360" w:lineRule="auto"/>
        <w:ind w:firstLine="420" w:firstLineChars="200"/>
        <w:jc w:val="left"/>
        <w:rPr>
          <w:rFonts w:ascii="仿宋_GB2312" w:hAnsi="仿宋_GB2312" w:eastAsia="仿宋_GB2312" w:cs="仿宋_GB2312"/>
          <w:b/>
          <w:bCs/>
          <w:szCs w:val="21"/>
        </w:rPr>
      </w:pPr>
      <w:r>
        <w:rPr>
          <w:rFonts w:hint="eastAsia" w:ascii="仿宋_GB2312" w:hAnsi="仿宋_GB2312" w:eastAsia="仿宋_GB2312" w:cs="仿宋_GB2312"/>
          <w:b/>
          <w:bCs/>
          <w:szCs w:val="21"/>
        </w:rPr>
        <w:t>5.4对于列入《辽宁省创新产品和服务目录》内的产品、服务的相关规定</w:t>
      </w:r>
    </w:p>
    <w:p>
      <w:pPr>
        <w:adjustRightInd w:val="0"/>
        <w:spacing w:line="360" w:lineRule="auto"/>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采用综合评分法评标的：对列入《辽宁省创新产品和服务目录》内的投标产品、服务给予</w:t>
      </w:r>
      <w:r>
        <w:rPr>
          <w:rFonts w:hint="eastAsia" w:ascii="仿宋_GB2312" w:hAnsi="仿宋_GB2312" w:eastAsia="仿宋_GB2312" w:cs="仿宋_GB2312"/>
          <w:szCs w:val="21"/>
          <w:u w:val="single"/>
        </w:rPr>
        <w:t xml:space="preserve">  </w:t>
      </w:r>
      <w:bookmarkStart w:id="179" w:name="_Hlk144386659"/>
      <w:r>
        <w:rPr>
          <w:rFonts w:ascii="仿宋_GB2312" w:hAnsi="仿宋_GB2312" w:eastAsia="仿宋_GB2312" w:cs="仿宋_GB2312"/>
          <w:szCs w:val="21"/>
          <w:u w:val="single"/>
        </w:rPr>
        <w:t>6</w:t>
      </w:r>
      <w:r>
        <w:rPr>
          <w:rFonts w:hint="eastAsia" w:ascii="仿宋_GB2312" w:hAnsi="仿宋_GB2312" w:eastAsia="仿宋_GB2312" w:cs="仿宋_GB2312"/>
          <w:szCs w:val="21"/>
          <w:u w:val="single"/>
        </w:rPr>
        <w:t>%</w:t>
      </w:r>
      <w:bookmarkEnd w:id="179"/>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（6-8%）的加分（详见评分细则）。</w:t>
      </w:r>
    </w:p>
    <w:p>
      <w:pPr>
        <w:adjustRightInd w:val="0"/>
        <w:snapToGrid w:val="0"/>
        <w:spacing w:line="360" w:lineRule="auto"/>
        <w:ind w:firstLine="420"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★6</w:t>
      </w:r>
      <w:r>
        <w:rPr>
          <w:rFonts w:hint="eastAsia" w:ascii="仿宋_GB2312" w:hAnsi="仿宋_GB2312" w:eastAsia="仿宋_GB2312" w:cs="仿宋_GB2312"/>
          <w:b/>
          <w:bCs/>
          <w:kern w:val="0"/>
          <w:szCs w:val="21"/>
        </w:rPr>
        <w:t>、投标无效情况详见投标人须知。</w:t>
      </w:r>
    </w:p>
    <w:p>
      <w:pPr>
        <w:adjustRightInd w:val="0"/>
        <w:snapToGrid w:val="0"/>
        <w:spacing w:line="360" w:lineRule="auto"/>
        <w:ind w:firstLine="420"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★7</w:t>
      </w:r>
      <w:r>
        <w:rPr>
          <w:rFonts w:hint="eastAsia" w:ascii="仿宋_GB2312" w:hAnsi="仿宋_GB2312" w:eastAsia="仿宋_GB2312" w:cs="仿宋_GB2312"/>
          <w:b/>
          <w:bCs/>
          <w:kern w:val="0"/>
          <w:szCs w:val="21"/>
        </w:rPr>
        <w:t>、推荐中标候选人的原则</w:t>
      </w:r>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详见第一章投标人须知第29条，具体处理办法如下：</w:t>
      </w:r>
    </w:p>
    <w:p>
      <w:pPr>
        <w:adjustRightInd w:val="0"/>
        <w:snapToGrid w:val="0"/>
        <w:spacing w:line="360" w:lineRule="auto"/>
        <w:ind w:left="420"/>
        <w:rPr>
          <w:rFonts w:ascii="仿宋_GB2312" w:hAnsi="仿宋_GB2312" w:eastAsia="仿宋_GB2312" w:cs="仿宋_GB2312"/>
          <w:szCs w:val="21"/>
        </w:rPr>
      </w:pPr>
      <w:r>
        <w:rPr>
          <w:rFonts w:hint="eastAsia" w:ascii="仿宋_GB2312" w:hAnsi="仿宋_GB2312" w:eastAsia="仿宋_GB2312" w:cs="仿宋_GB2312"/>
          <w:szCs w:val="21"/>
        </w:rPr>
        <w:t>采用综合评分法的：</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得分相同的，按扣除后的投标报价由低到高顺序排序；</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按前款不能区分的，按投标报价由低至高顺序排序；</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按前款不能区分的，按技术指标优劣排序；</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其他情况，由评标委员会投票处理。</w:t>
      </w:r>
    </w:p>
    <w:p>
      <w:pPr>
        <w:adjustRightInd w:val="0"/>
        <w:snapToGrid w:val="0"/>
        <w:spacing w:line="360" w:lineRule="auto"/>
        <w:ind w:firstLine="420" w:firstLineChars="200"/>
        <w:rPr>
          <w:rFonts w:ascii="仿宋_GB2312" w:hAnsi="仿宋_GB2312" w:eastAsia="仿宋_GB2312" w:cs="仿宋_GB2312"/>
          <w:b/>
          <w:kern w:val="0"/>
          <w:szCs w:val="21"/>
        </w:rPr>
      </w:pPr>
      <w:bookmarkStart w:id="180" w:name="_Toc30297_WPSOffice_Level2"/>
      <w:r>
        <w:rPr>
          <w:rFonts w:hint="eastAsia" w:ascii="仿宋_GB2312" w:hAnsi="仿宋_GB2312" w:eastAsia="仿宋_GB2312" w:cs="仿宋_GB2312"/>
          <w:b/>
          <w:szCs w:val="21"/>
        </w:rPr>
        <w:t>三、</w:t>
      </w:r>
      <w:r>
        <w:rPr>
          <w:rFonts w:hint="eastAsia" w:ascii="仿宋_GB2312" w:hAnsi="仿宋_GB2312" w:eastAsia="仿宋_GB2312" w:cs="仿宋_GB2312"/>
          <w:b/>
          <w:kern w:val="0"/>
          <w:szCs w:val="21"/>
        </w:rPr>
        <w:t>确定中标人</w:t>
      </w:r>
      <w:bookmarkEnd w:id="180"/>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评标委员会根据全体评标委员会成员签字的原始评标记录和评标结果编写评标报告，并向采购人提交书面评标报告。</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采购人按照评标报告确定的中标候选人名单按顺序确定中标人，或由采购人委托评标委员会按照第一章投标人须知第31条规定的方式确定中标人。</w:t>
      </w:r>
    </w:p>
    <w:p>
      <w:pPr>
        <w:widowControl/>
        <w:jc w:val="left"/>
        <w:rPr>
          <w:rFonts w:ascii="仿宋_GB2312" w:hAnsi="仿宋_GB2312" w:eastAsia="仿宋_GB2312" w:cs="仿宋_GB2312"/>
          <w:kern w:val="0"/>
          <w:sz w:val="24"/>
        </w:rPr>
      </w:pPr>
      <w:r>
        <w:rPr>
          <w:rFonts w:hint="eastAsia" w:ascii="仿宋_GB2312" w:hAnsi="仿宋_GB2312" w:eastAsia="仿宋_GB2312" w:cs="仿宋_GB2312"/>
        </w:rPr>
        <w:br w:type="page"/>
      </w:r>
    </w:p>
    <w:p>
      <w:pPr>
        <w:pStyle w:val="3"/>
        <w:adjustRightInd w:val="0"/>
        <w:snapToGrid w:val="0"/>
        <w:spacing w:before="0" w:after="0" w:line="240" w:lineRule="auto"/>
        <w:jc w:val="left"/>
        <w:rPr>
          <w:rFonts w:ascii="仿宋_GB2312" w:hAnsi="仿宋_GB2312" w:eastAsia="仿宋_GB2312" w:cs="仿宋_GB2312"/>
          <w:szCs w:val="28"/>
        </w:rPr>
      </w:pPr>
      <w:bookmarkStart w:id="181" w:name="_Toc32318_WPSOffice_Level2"/>
      <w:r>
        <w:rPr>
          <w:rFonts w:hint="eastAsia" w:ascii="仿宋_GB2312" w:hAnsi="仿宋_GB2312" w:eastAsia="仿宋_GB2312" w:cs="仿宋_GB2312"/>
          <w:szCs w:val="28"/>
        </w:rPr>
        <w:t xml:space="preserve">附件1                   </w:t>
      </w:r>
      <w:bookmarkEnd w:id="181"/>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资格审查表</w:t>
      </w:r>
    </w:p>
    <w:tbl>
      <w:tblPr>
        <w:tblStyle w:val="12"/>
        <w:tblW w:w="9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3959"/>
        <w:gridCol w:w="2003"/>
        <w:gridCol w:w="923"/>
        <w:gridCol w:w="804"/>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46" w:type="dxa"/>
            <w:vMerge w:val="restart"/>
            <w:vAlign w:val="center"/>
          </w:tcPr>
          <w:p>
            <w:pPr>
              <w:ind w:left="-96" w:leftChars="-46" w:right="-86" w:rightChars="-41"/>
              <w:jc w:val="center"/>
              <w:rPr>
                <w:rFonts w:ascii="仿宋_GB2312" w:hAnsi="仿宋_GB2312" w:eastAsia="仿宋_GB2312" w:cs="仿宋_GB2312"/>
              </w:rPr>
            </w:pPr>
            <w:r>
              <w:rPr>
                <w:rFonts w:hint="eastAsia" w:ascii="仿宋_GB2312" w:hAnsi="仿宋_GB2312" w:eastAsia="仿宋_GB2312" w:cs="仿宋_GB2312"/>
              </w:rPr>
              <w:t>序号</w:t>
            </w:r>
          </w:p>
        </w:tc>
        <w:tc>
          <w:tcPr>
            <w:tcW w:w="3959" w:type="dxa"/>
            <w:vMerge w:val="restart"/>
            <w:vAlign w:val="center"/>
          </w:tcPr>
          <w:p>
            <w:pPr>
              <w:pStyle w:val="3"/>
              <w:adjustRightInd w:val="0"/>
              <w:snapToGrid w:val="0"/>
              <w:spacing w:before="0" w:after="0" w:line="240" w:lineRule="auto"/>
              <w:ind w:left="-96" w:leftChars="-46" w:right="-86" w:rightChars="-41"/>
              <w:rPr>
                <w:rFonts w:ascii="仿宋_GB2312" w:hAnsi="仿宋_GB2312" w:eastAsia="仿宋_GB2312" w:cs="仿宋_GB2312"/>
                <w:b w:val="0"/>
                <w:sz w:val="21"/>
                <w:szCs w:val="21"/>
                <w:lang w:val="en-US" w:eastAsia="zh-CN"/>
              </w:rPr>
            </w:pPr>
            <w:r>
              <w:rPr>
                <w:rFonts w:hint="eastAsia" w:ascii="仿宋_GB2312" w:hAnsi="仿宋_GB2312" w:eastAsia="仿宋_GB2312" w:cs="仿宋_GB2312"/>
                <w:b w:val="0"/>
                <w:sz w:val="21"/>
                <w:szCs w:val="21"/>
                <w:lang w:val="en-US" w:eastAsia="zh-CN"/>
              </w:rPr>
              <w:t>审查项目</w:t>
            </w:r>
          </w:p>
        </w:tc>
        <w:tc>
          <w:tcPr>
            <w:tcW w:w="2003" w:type="dxa"/>
            <w:vMerge w:val="restart"/>
            <w:vAlign w:val="center"/>
          </w:tcPr>
          <w:p>
            <w:pPr>
              <w:pStyle w:val="3"/>
              <w:adjustRightInd w:val="0"/>
              <w:snapToGrid w:val="0"/>
              <w:spacing w:before="0" w:after="0" w:line="240" w:lineRule="auto"/>
              <w:ind w:left="-96" w:leftChars="-46" w:right="-86" w:rightChars="-41"/>
              <w:rPr>
                <w:rFonts w:ascii="仿宋_GB2312" w:hAnsi="仿宋_GB2312" w:eastAsia="仿宋_GB2312" w:cs="仿宋_GB2312"/>
                <w:b w:val="0"/>
                <w:sz w:val="21"/>
                <w:szCs w:val="21"/>
                <w:lang w:val="en-US" w:eastAsia="zh-CN"/>
              </w:rPr>
            </w:pPr>
            <w:r>
              <w:rPr>
                <w:rFonts w:hint="eastAsia" w:ascii="仿宋_GB2312" w:hAnsi="仿宋_GB2312" w:eastAsia="仿宋_GB2312" w:cs="仿宋_GB2312"/>
                <w:b w:val="0"/>
                <w:sz w:val="21"/>
                <w:szCs w:val="21"/>
                <w:lang w:val="en-US" w:eastAsia="zh-CN"/>
              </w:rPr>
              <w:t>审查标准</w:t>
            </w:r>
          </w:p>
        </w:tc>
        <w:tc>
          <w:tcPr>
            <w:tcW w:w="2668" w:type="dxa"/>
            <w:gridSpan w:val="3"/>
            <w:vAlign w:val="center"/>
          </w:tcPr>
          <w:p>
            <w:pPr>
              <w:pStyle w:val="3"/>
              <w:adjustRightInd w:val="0"/>
              <w:snapToGrid w:val="0"/>
              <w:spacing w:before="0" w:after="0" w:line="240" w:lineRule="auto"/>
              <w:ind w:left="-96" w:leftChars="-46" w:right="-86" w:rightChars="-41"/>
              <w:rPr>
                <w:rFonts w:ascii="仿宋_GB2312" w:hAnsi="仿宋_GB2312" w:eastAsia="仿宋_GB2312" w:cs="仿宋_GB2312"/>
                <w:b w:val="0"/>
                <w:sz w:val="21"/>
                <w:szCs w:val="21"/>
                <w:lang w:val="en-US" w:eastAsia="zh-CN"/>
              </w:rPr>
            </w:pPr>
            <w:r>
              <w:rPr>
                <w:rFonts w:hint="eastAsia" w:ascii="仿宋_GB2312" w:hAnsi="仿宋_GB2312" w:eastAsia="仿宋_GB2312" w:cs="仿宋_GB2312"/>
                <w:b w:val="0"/>
                <w:sz w:val="21"/>
                <w:szCs w:val="21"/>
                <w:lang w:val="en-US" w:eastAsia="zh-CN"/>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46" w:type="dxa"/>
            <w:vMerge w:val="continue"/>
            <w:vAlign w:val="center"/>
          </w:tcPr>
          <w:p>
            <w:pPr>
              <w:pStyle w:val="3"/>
              <w:adjustRightInd w:val="0"/>
              <w:snapToGrid w:val="0"/>
              <w:spacing w:before="0" w:after="0" w:line="240" w:lineRule="auto"/>
              <w:rPr>
                <w:rFonts w:ascii="仿宋_GB2312" w:hAnsi="仿宋_GB2312" w:eastAsia="仿宋_GB2312" w:cs="仿宋_GB2312"/>
                <w:lang w:val="en-US" w:eastAsia="zh-CN"/>
              </w:rPr>
            </w:pPr>
          </w:p>
        </w:tc>
        <w:tc>
          <w:tcPr>
            <w:tcW w:w="3959" w:type="dxa"/>
            <w:vMerge w:val="continue"/>
            <w:vAlign w:val="center"/>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2003" w:type="dxa"/>
            <w:vMerge w:val="continue"/>
            <w:vAlign w:val="center"/>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923" w:type="dxa"/>
            <w:vAlign w:val="center"/>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804" w:type="dxa"/>
            <w:vAlign w:val="center"/>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941" w:type="dxa"/>
            <w:vAlign w:val="center"/>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46"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1</w:t>
            </w:r>
          </w:p>
        </w:tc>
        <w:tc>
          <w:tcPr>
            <w:tcW w:w="3959" w:type="dxa"/>
            <w:vAlign w:val="center"/>
          </w:tcPr>
          <w:p>
            <w:pPr>
              <w:snapToGrid w:val="0"/>
              <w:jc w:val="left"/>
              <w:rPr>
                <w:rFonts w:ascii="仿宋_GB2312" w:hAnsi="仿宋_GB2312" w:eastAsia="仿宋_GB2312" w:cs="仿宋_GB2312"/>
                <w:b/>
                <w:szCs w:val="21"/>
              </w:rPr>
            </w:pPr>
            <w:r>
              <w:rPr>
                <w:rFonts w:hint="eastAsia" w:ascii="仿宋_GB2312" w:hAnsi="仿宋_GB2312" w:eastAsia="仿宋_GB2312" w:cs="仿宋_GB2312"/>
              </w:rPr>
              <w:t>营业执照或事业单位法人证书或执业许可证等证明文件</w:t>
            </w:r>
          </w:p>
        </w:tc>
        <w:tc>
          <w:tcPr>
            <w:tcW w:w="2003" w:type="dxa"/>
            <w:vAlign w:val="center"/>
          </w:tcPr>
          <w:p>
            <w:pPr>
              <w:pStyle w:val="3"/>
              <w:adjustRightInd w:val="0"/>
              <w:snapToGrid w:val="0"/>
              <w:spacing w:before="0" w:after="0" w:line="240" w:lineRule="auto"/>
              <w:jc w:val="left"/>
              <w:rPr>
                <w:rFonts w:ascii="仿宋_GB2312" w:hAnsi="仿宋_GB2312" w:eastAsia="仿宋_GB2312" w:cs="仿宋_GB2312"/>
                <w:b w:val="0"/>
                <w:sz w:val="21"/>
                <w:szCs w:val="21"/>
                <w:lang w:val="en-US" w:eastAsia="zh-CN"/>
              </w:rPr>
            </w:pPr>
            <w:r>
              <w:rPr>
                <w:rFonts w:hint="eastAsia" w:ascii="仿宋_GB2312" w:hAnsi="仿宋_GB2312" w:eastAsia="仿宋_GB2312" w:cs="仿宋_GB2312"/>
                <w:b w:val="0"/>
                <w:sz w:val="21"/>
                <w:szCs w:val="21"/>
                <w:lang w:val="en-US" w:eastAsia="zh-CN"/>
              </w:rPr>
              <w:t>1.按要求提供</w:t>
            </w:r>
          </w:p>
          <w:p>
            <w:pPr>
              <w:pStyle w:val="3"/>
              <w:adjustRightInd w:val="0"/>
              <w:snapToGrid w:val="0"/>
              <w:spacing w:before="0" w:after="0" w:line="240" w:lineRule="auto"/>
              <w:jc w:val="left"/>
              <w:rPr>
                <w:rFonts w:ascii="仿宋_GB2312" w:hAnsi="仿宋_GB2312" w:eastAsia="仿宋_GB2312" w:cs="仿宋_GB2312"/>
                <w:b w:val="0"/>
                <w:sz w:val="21"/>
                <w:szCs w:val="21"/>
                <w:lang w:val="en-US" w:eastAsia="zh-CN"/>
              </w:rPr>
            </w:pPr>
            <w:r>
              <w:rPr>
                <w:rFonts w:hint="eastAsia" w:ascii="仿宋_GB2312" w:hAnsi="仿宋_GB2312" w:eastAsia="仿宋_GB2312" w:cs="仿宋_GB2312"/>
                <w:b w:val="0"/>
                <w:sz w:val="21"/>
                <w:szCs w:val="21"/>
                <w:lang w:val="en-US" w:eastAsia="zh-CN"/>
              </w:rPr>
              <w:t>2.合法有效</w:t>
            </w:r>
          </w:p>
        </w:tc>
        <w:tc>
          <w:tcPr>
            <w:tcW w:w="923" w:type="dxa"/>
            <w:vAlign w:val="center"/>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804" w:type="dxa"/>
            <w:vAlign w:val="center"/>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941" w:type="dxa"/>
            <w:vAlign w:val="center"/>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46" w:type="dxa"/>
            <w:vAlign w:val="center"/>
          </w:tcPr>
          <w:p>
            <w:pPr>
              <w:widowControl/>
              <w:snapToGrid w:val="0"/>
              <w:jc w:val="center"/>
              <w:rPr>
                <w:rFonts w:ascii="仿宋_GB2312" w:hAnsi="仿宋_GB2312" w:eastAsia="仿宋_GB2312" w:cs="仿宋_GB2312"/>
              </w:rPr>
            </w:pPr>
            <w:r>
              <w:rPr>
                <w:rFonts w:ascii="仿宋_GB2312" w:hAnsi="仿宋_GB2312" w:eastAsia="仿宋_GB2312" w:cs="仿宋_GB2312"/>
                <w:szCs w:val="21"/>
              </w:rPr>
              <w:t>2</w:t>
            </w:r>
          </w:p>
        </w:tc>
        <w:tc>
          <w:tcPr>
            <w:tcW w:w="3959" w:type="dxa"/>
            <w:vAlign w:val="center"/>
          </w:tcPr>
          <w:p>
            <w:pPr>
              <w:widowControl/>
              <w:snapToGrid w:val="0"/>
              <w:jc w:val="left"/>
              <w:rPr>
                <w:rFonts w:ascii="仿宋_GB2312" w:hAnsi="仿宋_GB2312" w:eastAsia="仿宋_GB2312" w:cs="仿宋_GB2312"/>
                <w:b/>
                <w:szCs w:val="21"/>
              </w:rPr>
            </w:pPr>
            <w:r>
              <w:rPr>
                <w:rFonts w:hint="eastAsia" w:ascii="仿宋_GB2312" w:hAnsi="仿宋_GB2312" w:eastAsia="仿宋_GB2312" w:cs="仿宋_GB2312"/>
                <w:szCs w:val="21"/>
              </w:rPr>
              <w:t>法定代表人（或非法人组织负责人）身份证明书</w:t>
            </w:r>
          </w:p>
        </w:tc>
        <w:tc>
          <w:tcPr>
            <w:tcW w:w="2003" w:type="dxa"/>
          </w:tcPr>
          <w:p>
            <w:pPr>
              <w:pStyle w:val="3"/>
              <w:adjustRightInd w:val="0"/>
              <w:snapToGrid w:val="0"/>
              <w:spacing w:before="0" w:after="0" w:line="240" w:lineRule="auto"/>
              <w:jc w:val="left"/>
              <w:rPr>
                <w:rFonts w:ascii="仿宋_GB2312" w:hAnsi="仿宋_GB2312" w:eastAsia="仿宋_GB2312" w:cs="仿宋_GB2312"/>
                <w:b w:val="0"/>
                <w:sz w:val="21"/>
                <w:szCs w:val="21"/>
                <w:lang w:val="en-US" w:eastAsia="zh-CN"/>
              </w:rPr>
            </w:pPr>
            <w:r>
              <w:rPr>
                <w:rFonts w:hint="eastAsia" w:ascii="仿宋_GB2312" w:hAnsi="仿宋_GB2312" w:eastAsia="仿宋_GB2312" w:cs="仿宋_GB2312"/>
                <w:b w:val="0"/>
                <w:sz w:val="21"/>
                <w:szCs w:val="21"/>
                <w:lang w:val="en-US" w:eastAsia="zh-CN"/>
              </w:rPr>
              <w:t>1.按给定格式填写</w:t>
            </w:r>
          </w:p>
          <w:p>
            <w:pPr>
              <w:pStyle w:val="3"/>
              <w:adjustRightInd w:val="0"/>
              <w:snapToGrid w:val="0"/>
              <w:spacing w:before="0" w:after="0" w:line="240" w:lineRule="auto"/>
              <w:jc w:val="left"/>
              <w:rPr>
                <w:rFonts w:ascii="仿宋_GB2312" w:hAnsi="仿宋_GB2312" w:eastAsia="仿宋_GB2312" w:cs="仿宋_GB2312"/>
                <w:b w:val="0"/>
                <w:sz w:val="21"/>
                <w:szCs w:val="21"/>
                <w:lang w:val="en-US" w:eastAsia="zh-CN"/>
              </w:rPr>
            </w:pPr>
            <w:r>
              <w:rPr>
                <w:rFonts w:hint="eastAsia" w:ascii="仿宋_GB2312" w:hAnsi="仿宋_GB2312" w:eastAsia="仿宋_GB2312" w:cs="仿宋_GB2312"/>
                <w:b w:val="0"/>
                <w:sz w:val="21"/>
                <w:szCs w:val="21"/>
                <w:lang w:val="en-US" w:eastAsia="zh-CN"/>
              </w:rPr>
              <w:t>2.按规定签章</w:t>
            </w:r>
          </w:p>
        </w:tc>
        <w:tc>
          <w:tcPr>
            <w:tcW w:w="923" w:type="dxa"/>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804" w:type="dxa"/>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941" w:type="dxa"/>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46" w:type="dxa"/>
            <w:vAlign w:val="center"/>
          </w:tcPr>
          <w:p>
            <w:pPr>
              <w:widowControl/>
              <w:snapToGrid w:val="0"/>
              <w:jc w:val="center"/>
              <w:rPr>
                <w:rFonts w:ascii="仿宋_GB2312" w:hAnsi="仿宋_GB2312" w:eastAsia="仿宋_GB2312" w:cs="仿宋_GB2312"/>
              </w:rPr>
            </w:pPr>
            <w:r>
              <w:rPr>
                <w:rFonts w:ascii="仿宋_GB2312" w:hAnsi="仿宋_GB2312" w:eastAsia="仿宋_GB2312" w:cs="仿宋_GB2312"/>
              </w:rPr>
              <w:t>3</w:t>
            </w:r>
          </w:p>
        </w:tc>
        <w:tc>
          <w:tcPr>
            <w:tcW w:w="3959" w:type="dxa"/>
            <w:vAlign w:val="center"/>
          </w:tcPr>
          <w:p>
            <w:pPr>
              <w:widowControl/>
              <w:snapToGrid w:val="0"/>
              <w:jc w:val="left"/>
              <w:rPr>
                <w:rFonts w:ascii="仿宋_GB2312" w:hAnsi="仿宋_GB2312" w:eastAsia="仿宋_GB2312" w:cs="仿宋_GB2312"/>
                <w:b/>
                <w:szCs w:val="21"/>
              </w:rPr>
            </w:pPr>
            <w:r>
              <w:rPr>
                <w:rFonts w:hint="eastAsia" w:ascii="仿宋_GB2312" w:hAnsi="仿宋_GB2312" w:eastAsia="仿宋_GB2312" w:cs="仿宋_GB2312"/>
              </w:rPr>
              <w:t>法定代表人（或非法人组织</w:t>
            </w:r>
            <w:r>
              <w:rPr>
                <w:rFonts w:hint="eastAsia" w:ascii="仿宋_GB2312" w:hAnsi="仿宋_GB2312" w:eastAsia="仿宋_GB2312" w:cs="仿宋_GB2312"/>
                <w:szCs w:val="21"/>
              </w:rPr>
              <w:t>负责人）</w:t>
            </w:r>
            <w:r>
              <w:rPr>
                <w:rFonts w:hint="eastAsia" w:ascii="仿宋_GB2312" w:hAnsi="仿宋_GB2312" w:eastAsia="仿宋_GB2312" w:cs="仿宋_GB2312"/>
              </w:rPr>
              <w:t>授权委托书</w:t>
            </w:r>
            <w:r>
              <w:rPr>
                <w:rFonts w:hint="eastAsia" w:ascii="仿宋_GB2312" w:hAnsi="仿宋_GB2312" w:eastAsia="仿宋_GB2312" w:cs="仿宋_GB2312"/>
                <w:szCs w:val="21"/>
              </w:rPr>
              <w:t>（授权委托人参加投标的须提供）</w:t>
            </w:r>
          </w:p>
        </w:tc>
        <w:tc>
          <w:tcPr>
            <w:tcW w:w="2003" w:type="dxa"/>
          </w:tcPr>
          <w:p>
            <w:pPr>
              <w:pStyle w:val="3"/>
              <w:adjustRightInd w:val="0"/>
              <w:snapToGrid w:val="0"/>
              <w:spacing w:before="0" w:after="0" w:line="240" w:lineRule="auto"/>
              <w:jc w:val="left"/>
              <w:rPr>
                <w:rFonts w:ascii="仿宋_GB2312" w:hAnsi="仿宋_GB2312" w:eastAsia="仿宋_GB2312" w:cs="仿宋_GB2312"/>
                <w:b w:val="0"/>
                <w:sz w:val="21"/>
                <w:szCs w:val="21"/>
                <w:lang w:val="en-US" w:eastAsia="zh-CN"/>
              </w:rPr>
            </w:pPr>
            <w:r>
              <w:rPr>
                <w:rFonts w:hint="eastAsia" w:ascii="仿宋_GB2312" w:hAnsi="仿宋_GB2312" w:eastAsia="仿宋_GB2312" w:cs="仿宋_GB2312"/>
                <w:b w:val="0"/>
                <w:sz w:val="21"/>
                <w:szCs w:val="21"/>
                <w:lang w:val="en-US" w:eastAsia="zh-CN"/>
              </w:rPr>
              <w:t>1.按给定格式填写</w:t>
            </w:r>
          </w:p>
          <w:p>
            <w:pPr>
              <w:pStyle w:val="3"/>
              <w:adjustRightInd w:val="0"/>
              <w:snapToGrid w:val="0"/>
              <w:spacing w:before="0" w:after="0" w:line="240" w:lineRule="auto"/>
              <w:jc w:val="left"/>
              <w:rPr>
                <w:rFonts w:ascii="仿宋_GB2312" w:hAnsi="仿宋_GB2312" w:eastAsia="仿宋_GB2312" w:cs="仿宋_GB2312"/>
                <w:b w:val="0"/>
                <w:sz w:val="21"/>
                <w:szCs w:val="21"/>
                <w:lang w:val="en-US" w:eastAsia="zh-CN"/>
              </w:rPr>
            </w:pPr>
            <w:r>
              <w:rPr>
                <w:rFonts w:hint="eastAsia" w:ascii="仿宋_GB2312" w:hAnsi="仿宋_GB2312" w:eastAsia="仿宋_GB2312" w:cs="仿宋_GB2312"/>
                <w:b w:val="0"/>
                <w:sz w:val="21"/>
                <w:szCs w:val="21"/>
                <w:lang w:val="en-US" w:eastAsia="zh-CN"/>
              </w:rPr>
              <w:t>2.按规定签章</w:t>
            </w:r>
          </w:p>
        </w:tc>
        <w:tc>
          <w:tcPr>
            <w:tcW w:w="923" w:type="dxa"/>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804" w:type="dxa"/>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941" w:type="dxa"/>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546" w:type="dxa"/>
            <w:vAlign w:val="center"/>
          </w:tcPr>
          <w:p>
            <w:pPr>
              <w:widowControl/>
              <w:snapToGrid w:val="0"/>
              <w:jc w:val="center"/>
              <w:rPr>
                <w:rFonts w:ascii="仿宋_GB2312" w:hAnsi="仿宋_GB2312" w:eastAsia="仿宋_GB2312" w:cs="仿宋_GB2312"/>
              </w:rPr>
            </w:pPr>
            <w:r>
              <w:rPr>
                <w:rFonts w:ascii="仿宋_GB2312" w:hAnsi="仿宋_GB2312" w:eastAsia="仿宋_GB2312" w:cs="仿宋_GB2312"/>
              </w:rPr>
              <w:t>4</w:t>
            </w:r>
          </w:p>
        </w:tc>
        <w:tc>
          <w:tcPr>
            <w:tcW w:w="3959" w:type="dxa"/>
            <w:vAlign w:val="center"/>
          </w:tcPr>
          <w:p>
            <w:pPr>
              <w:widowControl/>
              <w:snapToGrid w:val="0"/>
              <w:jc w:val="left"/>
              <w:rPr>
                <w:rFonts w:ascii="仿宋_GB2312" w:hAnsi="仿宋_GB2312" w:eastAsia="仿宋_GB2312" w:cs="仿宋_GB2312"/>
                <w:b/>
                <w:szCs w:val="21"/>
              </w:rPr>
            </w:pPr>
            <w:r>
              <w:rPr>
                <w:rFonts w:hint="eastAsia" w:ascii="仿宋_GB2312" w:hAnsi="仿宋_GB2312" w:eastAsia="仿宋_GB2312" w:cs="仿宋_GB2312"/>
              </w:rPr>
              <w:t>具有良好的商业信誉和健全的财务会计制度的承诺函</w:t>
            </w:r>
          </w:p>
        </w:tc>
        <w:tc>
          <w:tcPr>
            <w:tcW w:w="2003" w:type="dxa"/>
            <w:vAlign w:val="center"/>
          </w:tcPr>
          <w:p>
            <w:pPr>
              <w:pStyle w:val="3"/>
              <w:adjustRightInd w:val="0"/>
              <w:snapToGrid w:val="0"/>
              <w:spacing w:before="0" w:after="0" w:line="240" w:lineRule="auto"/>
              <w:jc w:val="left"/>
              <w:rPr>
                <w:rFonts w:ascii="仿宋_GB2312" w:hAnsi="仿宋_GB2312" w:eastAsia="仿宋_GB2312" w:cs="仿宋_GB2312"/>
                <w:b w:val="0"/>
                <w:sz w:val="21"/>
                <w:szCs w:val="21"/>
                <w:lang w:val="en-US" w:eastAsia="zh-CN"/>
              </w:rPr>
            </w:pPr>
            <w:r>
              <w:rPr>
                <w:rFonts w:hint="eastAsia" w:ascii="仿宋_GB2312" w:hAnsi="仿宋_GB2312" w:eastAsia="仿宋_GB2312" w:cs="仿宋_GB2312"/>
                <w:b w:val="0"/>
                <w:sz w:val="21"/>
                <w:szCs w:val="21"/>
                <w:lang w:val="en-US" w:eastAsia="zh-CN"/>
              </w:rPr>
              <w:t>1.信息完整</w:t>
            </w:r>
          </w:p>
          <w:p>
            <w:pPr>
              <w:pStyle w:val="3"/>
              <w:adjustRightInd w:val="0"/>
              <w:snapToGrid w:val="0"/>
              <w:spacing w:before="0" w:after="0" w:line="240" w:lineRule="auto"/>
              <w:jc w:val="left"/>
              <w:rPr>
                <w:rFonts w:ascii="仿宋_GB2312" w:hAnsi="仿宋_GB2312" w:eastAsia="仿宋_GB2312" w:cs="仿宋_GB2312"/>
                <w:b w:val="0"/>
                <w:sz w:val="21"/>
                <w:szCs w:val="21"/>
                <w:lang w:val="en-US" w:eastAsia="zh-CN"/>
              </w:rPr>
            </w:pPr>
            <w:r>
              <w:rPr>
                <w:rFonts w:hint="eastAsia" w:ascii="仿宋_GB2312" w:hAnsi="仿宋_GB2312" w:eastAsia="仿宋_GB2312" w:cs="仿宋_GB2312"/>
                <w:b w:val="0"/>
                <w:sz w:val="21"/>
                <w:szCs w:val="21"/>
                <w:lang w:val="en-US" w:eastAsia="zh-CN"/>
              </w:rPr>
              <w:t>2.按规定签章</w:t>
            </w:r>
          </w:p>
        </w:tc>
        <w:tc>
          <w:tcPr>
            <w:tcW w:w="923" w:type="dxa"/>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804" w:type="dxa"/>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941" w:type="dxa"/>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46" w:type="dxa"/>
            <w:vAlign w:val="center"/>
          </w:tcPr>
          <w:p>
            <w:pPr>
              <w:snapToGrid w:val="0"/>
              <w:jc w:val="center"/>
              <w:rPr>
                <w:rFonts w:ascii="仿宋_GB2312" w:hAnsi="仿宋_GB2312" w:eastAsia="仿宋_GB2312" w:cs="仿宋_GB2312"/>
              </w:rPr>
            </w:pPr>
            <w:r>
              <w:rPr>
                <w:rFonts w:ascii="仿宋_GB2312" w:hAnsi="仿宋_GB2312" w:eastAsia="仿宋_GB2312" w:cs="仿宋_GB2312"/>
              </w:rPr>
              <w:t>5</w:t>
            </w:r>
          </w:p>
        </w:tc>
        <w:tc>
          <w:tcPr>
            <w:tcW w:w="3959" w:type="dxa"/>
            <w:vAlign w:val="center"/>
          </w:tcPr>
          <w:p>
            <w:pPr>
              <w:snapToGrid w:val="0"/>
              <w:jc w:val="left"/>
              <w:rPr>
                <w:rFonts w:ascii="仿宋_GB2312" w:hAnsi="仿宋_GB2312" w:eastAsia="仿宋_GB2312" w:cs="仿宋_GB2312"/>
                <w:b/>
                <w:szCs w:val="21"/>
              </w:rPr>
            </w:pPr>
            <w:r>
              <w:rPr>
                <w:rFonts w:hint="eastAsia" w:ascii="仿宋_GB2312" w:hAnsi="仿宋_GB2312" w:eastAsia="仿宋_GB2312" w:cs="仿宋_GB2312"/>
              </w:rPr>
              <w:t>开标时间前六个月内任一个月的依法缴纳税收的缴款凭据</w:t>
            </w:r>
          </w:p>
        </w:tc>
        <w:tc>
          <w:tcPr>
            <w:tcW w:w="2003" w:type="dxa"/>
            <w:vAlign w:val="center"/>
          </w:tcPr>
          <w:p>
            <w:pPr>
              <w:pStyle w:val="3"/>
              <w:adjustRightInd w:val="0"/>
              <w:snapToGrid w:val="0"/>
              <w:spacing w:before="0" w:after="0" w:line="240" w:lineRule="auto"/>
              <w:jc w:val="left"/>
              <w:rPr>
                <w:rFonts w:ascii="仿宋_GB2312" w:hAnsi="仿宋_GB2312" w:eastAsia="仿宋_GB2312" w:cs="仿宋_GB2312"/>
                <w:b w:val="0"/>
                <w:sz w:val="21"/>
                <w:szCs w:val="21"/>
                <w:lang w:val="en-US" w:eastAsia="zh-CN"/>
              </w:rPr>
            </w:pPr>
            <w:r>
              <w:rPr>
                <w:rFonts w:hint="eastAsia" w:ascii="仿宋_GB2312" w:hAnsi="仿宋_GB2312" w:eastAsia="仿宋_GB2312" w:cs="仿宋_GB2312"/>
                <w:b w:val="0"/>
                <w:sz w:val="21"/>
                <w:szCs w:val="21"/>
                <w:lang w:val="en-US" w:eastAsia="zh-CN"/>
              </w:rPr>
              <w:t>1.按要求提供</w:t>
            </w:r>
          </w:p>
          <w:p>
            <w:pPr>
              <w:pStyle w:val="3"/>
              <w:adjustRightInd w:val="0"/>
              <w:snapToGrid w:val="0"/>
              <w:spacing w:before="0" w:after="0" w:line="240" w:lineRule="auto"/>
              <w:jc w:val="left"/>
              <w:rPr>
                <w:rFonts w:ascii="仿宋_GB2312" w:hAnsi="仿宋_GB2312" w:eastAsia="仿宋_GB2312" w:cs="仿宋_GB2312"/>
                <w:b w:val="0"/>
                <w:sz w:val="21"/>
                <w:szCs w:val="21"/>
                <w:lang w:val="en-US" w:eastAsia="zh-CN"/>
              </w:rPr>
            </w:pPr>
            <w:r>
              <w:rPr>
                <w:rFonts w:hint="eastAsia" w:ascii="仿宋_GB2312" w:hAnsi="仿宋_GB2312" w:eastAsia="仿宋_GB2312" w:cs="仿宋_GB2312"/>
                <w:b w:val="0"/>
                <w:sz w:val="21"/>
                <w:szCs w:val="21"/>
                <w:lang w:val="en-US" w:eastAsia="zh-CN"/>
              </w:rPr>
              <w:t>2.合法有效</w:t>
            </w:r>
          </w:p>
        </w:tc>
        <w:tc>
          <w:tcPr>
            <w:tcW w:w="923" w:type="dxa"/>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804" w:type="dxa"/>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941" w:type="dxa"/>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46" w:type="dxa"/>
            <w:vAlign w:val="center"/>
          </w:tcPr>
          <w:p>
            <w:pPr>
              <w:snapToGrid w:val="0"/>
              <w:jc w:val="center"/>
              <w:rPr>
                <w:rFonts w:ascii="仿宋_GB2312" w:hAnsi="仿宋_GB2312" w:eastAsia="仿宋_GB2312" w:cs="仿宋_GB2312"/>
              </w:rPr>
            </w:pPr>
            <w:r>
              <w:rPr>
                <w:rFonts w:ascii="仿宋_GB2312" w:hAnsi="仿宋_GB2312" w:eastAsia="仿宋_GB2312" w:cs="仿宋_GB2312"/>
              </w:rPr>
              <w:t>6</w:t>
            </w:r>
          </w:p>
        </w:tc>
        <w:tc>
          <w:tcPr>
            <w:tcW w:w="3959" w:type="dxa"/>
            <w:vAlign w:val="center"/>
          </w:tcPr>
          <w:p>
            <w:pPr>
              <w:snapToGrid w:val="0"/>
              <w:jc w:val="left"/>
              <w:rPr>
                <w:rFonts w:ascii="仿宋_GB2312" w:hAnsi="仿宋_GB2312" w:eastAsia="仿宋_GB2312" w:cs="仿宋_GB2312"/>
                <w:b/>
                <w:szCs w:val="21"/>
              </w:rPr>
            </w:pPr>
            <w:r>
              <w:rPr>
                <w:rFonts w:hint="eastAsia" w:ascii="仿宋_GB2312" w:hAnsi="仿宋_GB2312" w:eastAsia="仿宋_GB2312" w:cs="仿宋_GB2312"/>
              </w:rPr>
              <w:t>开标时间前六个月内任一个月的依法缴纳社会保障资金的缴款凭据</w:t>
            </w:r>
          </w:p>
        </w:tc>
        <w:tc>
          <w:tcPr>
            <w:tcW w:w="2003" w:type="dxa"/>
            <w:vAlign w:val="center"/>
          </w:tcPr>
          <w:p>
            <w:pPr>
              <w:pStyle w:val="3"/>
              <w:adjustRightInd w:val="0"/>
              <w:snapToGrid w:val="0"/>
              <w:spacing w:before="0" w:after="0" w:line="240" w:lineRule="auto"/>
              <w:jc w:val="left"/>
              <w:rPr>
                <w:rFonts w:ascii="仿宋_GB2312" w:hAnsi="仿宋_GB2312" w:eastAsia="仿宋_GB2312" w:cs="仿宋_GB2312"/>
                <w:b w:val="0"/>
                <w:sz w:val="21"/>
                <w:szCs w:val="21"/>
                <w:lang w:val="en-US" w:eastAsia="zh-CN"/>
              </w:rPr>
            </w:pPr>
            <w:r>
              <w:rPr>
                <w:rFonts w:hint="eastAsia" w:ascii="仿宋_GB2312" w:hAnsi="仿宋_GB2312" w:eastAsia="仿宋_GB2312" w:cs="仿宋_GB2312"/>
                <w:b w:val="0"/>
                <w:sz w:val="21"/>
                <w:szCs w:val="21"/>
                <w:lang w:val="en-US" w:eastAsia="zh-CN"/>
              </w:rPr>
              <w:t>1.按要求提供</w:t>
            </w:r>
          </w:p>
          <w:p>
            <w:pPr>
              <w:pStyle w:val="3"/>
              <w:adjustRightInd w:val="0"/>
              <w:snapToGrid w:val="0"/>
              <w:spacing w:before="0" w:after="0" w:line="240" w:lineRule="auto"/>
              <w:jc w:val="left"/>
              <w:rPr>
                <w:rFonts w:ascii="仿宋_GB2312" w:hAnsi="仿宋_GB2312" w:eastAsia="仿宋_GB2312" w:cs="仿宋_GB2312"/>
                <w:b w:val="0"/>
                <w:sz w:val="21"/>
                <w:szCs w:val="21"/>
                <w:lang w:val="en-US" w:eastAsia="zh-CN"/>
              </w:rPr>
            </w:pPr>
            <w:r>
              <w:rPr>
                <w:rFonts w:hint="eastAsia" w:ascii="仿宋_GB2312" w:hAnsi="仿宋_GB2312" w:eastAsia="仿宋_GB2312" w:cs="仿宋_GB2312"/>
                <w:b w:val="0"/>
                <w:sz w:val="21"/>
                <w:szCs w:val="21"/>
                <w:lang w:val="en-US" w:eastAsia="zh-CN"/>
              </w:rPr>
              <w:t>2.合法有效</w:t>
            </w:r>
          </w:p>
        </w:tc>
        <w:tc>
          <w:tcPr>
            <w:tcW w:w="923" w:type="dxa"/>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804" w:type="dxa"/>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941" w:type="dxa"/>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546" w:type="dxa"/>
            <w:vAlign w:val="center"/>
          </w:tcPr>
          <w:p>
            <w:pPr>
              <w:snapToGrid w:val="0"/>
              <w:jc w:val="center"/>
              <w:rPr>
                <w:rFonts w:ascii="仿宋_GB2312" w:hAnsi="仿宋_GB2312" w:eastAsia="仿宋_GB2312" w:cs="仿宋_GB2312"/>
              </w:rPr>
            </w:pPr>
            <w:r>
              <w:rPr>
                <w:rFonts w:ascii="仿宋_GB2312" w:hAnsi="仿宋_GB2312" w:eastAsia="仿宋_GB2312" w:cs="仿宋_GB2312"/>
              </w:rPr>
              <w:t>7</w:t>
            </w:r>
          </w:p>
        </w:tc>
        <w:tc>
          <w:tcPr>
            <w:tcW w:w="3959" w:type="dxa"/>
            <w:vAlign w:val="center"/>
          </w:tcPr>
          <w:p>
            <w:pPr>
              <w:snapToGrid w:val="0"/>
              <w:jc w:val="left"/>
              <w:rPr>
                <w:rFonts w:ascii="仿宋_GB2312" w:hAnsi="仿宋_GB2312" w:eastAsia="仿宋_GB2312" w:cs="仿宋_GB2312"/>
                <w:b/>
                <w:szCs w:val="21"/>
              </w:rPr>
            </w:pPr>
            <w:r>
              <w:rPr>
                <w:rFonts w:hint="eastAsia" w:ascii="仿宋_GB2312" w:hAnsi="仿宋_GB2312" w:eastAsia="仿宋_GB2312" w:cs="仿宋_GB2312"/>
              </w:rPr>
              <w:t>具备履行合同所必需的设备和专业技术能力声明函</w:t>
            </w:r>
          </w:p>
        </w:tc>
        <w:tc>
          <w:tcPr>
            <w:tcW w:w="2003" w:type="dxa"/>
          </w:tcPr>
          <w:p>
            <w:pPr>
              <w:pStyle w:val="3"/>
              <w:adjustRightInd w:val="0"/>
              <w:snapToGrid w:val="0"/>
              <w:spacing w:before="0" w:after="0" w:line="240" w:lineRule="auto"/>
              <w:jc w:val="left"/>
              <w:rPr>
                <w:rFonts w:ascii="仿宋_GB2312" w:hAnsi="仿宋_GB2312" w:eastAsia="仿宋_GB2312" w:cs="仿宋_GB2312"/>
                <w:b w:val="0"/>
                <w:sz w:val="21"/>
                <w:szCs w:val="21"/>
                <w:lang w:val="en-US" w:eastAsia="zh-CN"/>
              </w:rPr>
            </w:pPr>
            <w:r>
              <w:rPr>
                <w:rFonts w:hint="eastAsia" w:ascii="仿宋_GB2312" w:hAnsi="仿宋_GB2312" w:eastAsia="仿宋_GB2312" w:cs="仿宋_GB2312"/>
                <w:b w:val="0"/>
                <w:sz w:val="21"/>
                <w:szCs w:val="21"/>
                <w:lang w:val="en-US" w:eastAsia="zh-CN"/>
              </w:rPr>
              <w:t>1.信息完整</w:t>
            </w:r>
          </w:p>
          <w:p>
            <w:pPr>
              <w:pStyle w:val="3"/>
              <w:adjustRightInd w:val="0"/>
              <w:snapToGrid w:val="0"/>
              <w:spacing w:before="0" w:after="0" w:line="240" w:lineRule="auto"/>
              <w:jc w:val="left"/>
              <w:rPr>
                <w:rFonts w:ascii="仿宋_GB2312" w:hAnsi="仿宋_GB2312" w:eastAsia="仿宋_GB2312" w:cs="仿宋_GB2312"/>
                <w:b w:val="0"/>
                <w:sz w:val="21"/>
                <w:szCs w:val="21"/>
                <w:lang w:val="en-US" w:eastAsia="zh-CN"/>
              </w:rPr>
            </w:pPr>
            <w:r>
              <w:rPr>
                <w:rFonts w:hint="eastAsia" w:ascii="仿宋_GB2312" w:hAnsi="仿宋_GB2312" w:eastAsia="仿宋_GB2312" w:cs="仿宋_GB2312"/>
                <w:b w:val="0"/>
                <w:sz w:val="21"/>
                <w:szCs w:val="21"/>
                <w:lang w:val="en-US" w:eastAsia="zh-CN"/>
              </w:rPr>
              <w:t>2.按规定签章</w:t>
            </w:r>
          </w:p>
        </w:tc>
        <w:tc>
          <w:tcPr>
            <w:tcW w:w="923" w:type="dxa"/>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804" w:type="dxa"/>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941" w:type="dxa"/>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46" w:type="dxa"/>
            <w:vAlign w:val="center"/>
          </w:tcPr>
          <w:p>
            <w:pPr>
              <w:snapToGrid w:val="0"/>
              <w:jc w:val="center"/>
              <w:rPr>
                <w:rFonts w:ascii="仿宋_GB2312" w:hAnsi="仿宋_GB2312" w:eastAsia="仿宋_GB2312" w:cs="仿宋_GB2312"/>
              </w:rPr>
            </w:pPr>
            <w:r>
              <w:rPr>
                <w:rFonts w:ascii="仿宋_GB2312" w:hAnsi="仿宋_GB2312" w:eastAsia="仿宋_GB2312" w:cs="仿宋_GB2312"/>
                <w:szCs w:val="21"/>
              </w:rPr>
              <w:t>8</w:t>
            </w:r>
          </w:p>
        </w:tc>
        <w:tc>
          <w:tcPr>
            <w:tcW w:w="3959" w:type="dxa"/>
            <w:vAlign w:val="center"/>
          </w:tcPr>
          <w:p>
            <w:pPr>
              <w:snapToGrid w:val="0"/>
              <w:jc w:val="left"/>
              <w:rPr>
                <w:rFonts w:ascii="仿宋_GB2312" w:hAnsi="仿宋_GB2312" w:eastAsia="仿宋_GB2312" w:cs="仿宋_GB2312"/>
              </w:rPr>
            </w:pPr>
            <w:r>
              <w:rPr>
                <w:rFonts w:hint="eastAsia" w:ascii="仿宋_GB2312" w:hAnsi="仿宋_GB2312" w:eastAsia="仿宋_GB2312" w:cs="仿宋_GB2312"/>
                <w:szCs w:val="21"/>
              </w:rPr>
              <w:t>参加政府采购活动前3年内在经营活动中没有重大违法记录的书面声明</w:t>
            </w:r>
          </w:p>
        </w:tc>
        <w:tc>
          <w:tcPr>
            <w:tcW w:w="2003" w:type="dxa"/>
          </w:tcPr>
          <w:p>
            <w:pPr>
              <w:pStyle w:val="3"/>
              <w:adjustRightInd w:val="0"/>
              <w:snapToGrid w:val="0"/>
              <w:spacing w:before="0" w:after="0" w:line="240" w:lineRule="auto"/>
              <w:jc w:val="left"/>
              <w:rPr>
                <w:rFonts w:ascii="仿宋_GB2312" w:hAnsi="仿宋_GB2312" w:eastAsia="仿宋_GB2312" w:cs="仿宋_GB2312"/>
                <w:b w:val="0"/>
                <w:sz w:val="21"/>
                <w:szCs w:val="21"/>
                <w:lang w:val="en-US" w:eastAsia="zh-CN"/>
              </w:rPr>
            </w:pPr>
            <w:r>
              <w:rPr>
                <w:rFonts w:hint="eastAsia" w:ascii="仿宋_GB2312" w:hAnsi="仿宋_GB2312" w:eastAsia="仿宋_GB2312" w:cs="仿宋_GB2312"/>
                <w:b w:val="0"/>
                <w:sz w:val="21"/>
                <w:szCs w:val="21"/>
                <w:lang w:val="en-US" w:eastAsia="zh-CN"/>
              </w:rPr>
              <w:t>1.按给定格式填写</w:t>
            </w:r>
          </w:p>
          <w:p>
            <w:pPr>
              <w:pStyle w:val="3"/>
              <w:adjustRightInd w:val="0"/>
              <w:snapToGrid w:val="0"/>
              <w:spacing w:before="0" w:after="0" w:line="240" w:lineRule="auto"/>
              <w:jc w:val="left"/>
              <w:rPr>
                <w:rFonts w:ascii="仿宋_GB2312" w:hAnsi="仿宋_GB2312" w:eastAsia="仿宋_GB2312" w:cs="仿宋_GB2312"/>
                <w:b w:val="0"/>
                <w:sz w:val="21"/>
                <w:szCs w:val="21"/>
                <w:lang w:val="en-US" w:eastAsia="zh-CN"/>
              </w:rPr>
            </w:pPr>
            <w:r>
              <w:rPr>
                <w:rFonts w:hint="eastAsia" w:ascii="仿宋_GB2312" w:hAnsi="仿宋_GB2312" w:eastAsia="仿宋_GB2312" w:cs="仿宋_GB2312"/>
                <w:b w:val="0"/>
                <w:sz w:val="21"/>
                <w:szCs w:val="21"/>
                <w:lang w:val="en-US" w:eastAsia="zh-CN"/>
              </w:rPr>
              <w:t>2.按规定签章</w:t>
            </w:r>
          </w:p>
        </w:tc>
        <w:tc>
          <w:tcPr>
            <w:tcW w:w="923" w:type="dxa"/>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804" w:type="dxa"/>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941" w:type="dxa"/>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46" w:type="dxa"/>
            <w:vAlign w:val="center"/>
          </w:tcPr>
          <w:p>
            <w:pPr>
              <w:snapToGrid w:val="0"/>
              <w:jc w:val="center"/>
              <w:rPr>
                <w:rFonts w:ascii="仿宋_GB2312" w:hAnsi="仿宋_GB2312" w:eastAsia="仿宋_GB2312" w:cs="仿宋_GB2312"/>
              </w:rPr>
            </w:pPr>
            <w:r>
              <w:rPr>
                <w:rFonts w:ascii="仿宋_GB2312" w:hAnsi="仿宋_GB2312" w:eastAsia="仿宋_GB2312" w:cs="仿宋_GB2312"/>
                <w:szCs w:val="21"/>
              </w:rPr>
              <w:t>9</w:t>
            </w:r>
          </w:p>
        </w:tc>
        <w:tc>
          <w:tcPr>
            <w:tcW w:w="3959" w:type="dxa"/>
            <w:vAlign w:val="center"/>
          </w:tcPr>
          <w:p>
            <w:pPr>
              <w:snapToGrid w:val="0"/>
              <w:jc w:val="left"/>
              <w:rPr>
                <w:rFonts w:ascii="仿宋_GB2312" w:hAnsi="仿宋_GB2312" w:eastAsia="仿宋_GB2312" w:cs="仿宋_GB2312"/>
                <w:b/>
                <w:szCs w:val="21"/>
              </w:rPr>
            </w:pPr>
            <w:r>
              <w:rPr>
                <w:rFonts w:hint="eastAsia" w:ascii="仿宋_GB2312" w:hAnsi="仿宋_GB2312" w:eastAsia="仿宋_GB2312" w:cs="仿宋_GB2312"/>
                <w:szCs w:val="21"/>
              </w:rPr>
              <w:t>其它资格证明文件（如适用，按投标人须知表1.3.4要求描述）</w:t>
            </w:r>
          </w:p>
        </w:tc>
        <w:tc>
          <w:tcPr>
            <w:tcW w:w="2003" w:type="dxa"/>
            <w:vAlign w:val="center"/>
          </w:tcPr>
          <w:p>
            <w:pPr>
              <w:pStyle w:val="3"/>
              <w:adjustRightInd w:val="0"/>
              <w:snapToGrid w:val="0"/>
              <w:spacing w:before="0" w:after="0" w:line="240" w:lineRule="auto"/>
              <w:jc w:val="left"/>
              <w:rPr>
                <w:rFonts w:ascii="仿宋_GB2312" w:hAnsi="仿宋_GB2312" w:eastAsia="仿宋_GB2312" w:cs="仿宋_GB2312"/>
                <w:b w:val="0"/>
                <w:sz w:val="21"/>
                <w:szCs w:val="21"/>
                <w:lang w:val="en-US" w:eastAsia="zh-CN"/>
              </w:rPr>
            </w:pPr>
            <w:r>
              <w:rPr>
                <w:rFonts w:hint="eastAsia" w:ascii="仿宋_GB2312" w:hAnsi="仿宋_GB2312" w:eastAsia="仿宋_GB2312" w:cs="仿宋_GB2312"/>
                <w:b w:val="0"/>
                <w:sz w:val="21"/>
                <w:szCs w:val="21"/>
                <w:lang w:val="en-US" w:eastAsia="zh-CN"/>
              </w:rPr>
              <w:t>1.按要求提供</w:t>
            </w:r>
          </w:p>
          <w:p>
            <w:pPr>
              <w:pStyle w:val="3"/>
              <w:adjustRightInd w:val="0"/>
              <w:snapToGrid w:val="0"/>
              <w:spacing w:before="0" w:after="0" w:line="240" w:lineRule="auto"/>
              <w:jc w:val="left"/>
              <w:rPr>
                <w:rFonts w:ascii="仿宋_GB2312" w:hAnsi="仿宋_GB2312" w:eastAsia="仿宋_GB2312" w:cs="仿宋_GB2312"/>
                <w:b w:val="0"/>
                <w:sz w:val="21"/>
                <w:szCs w:val="21"/>
                <w:lang w:val="en-US" w:eastAsia="zh-CN"/>
              </w:rPr>
            </w:pPr>
            <w:r>
              <w:rPr>
                <w:rFonts w:hint="eastAsia" w:ascii="仿宋_GB2312" w:hAnsi="仿宋_GB2312" w:eastAsia="仿宋_GB2312" w:cs="仿宋_GB2312"/>
                <w:b w:val="0"/>
                <w:sz w:val="21"/>
                <w:szCs w:val="21"/>
                <w:lang w:val="en-US" w:eastAsia="zh-CN"/>
              </w:rPr>
              <w:t>2.合法有效</w:t>
            </w:r>
          </w:p>
        </w:tc>
        <w:tc>
          <w:tcPr>
            <w:tcW w:w="923" w:type="dxa"/>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804" w:type="dxa"/>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941" w:type="dxa"/>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46" w:type="dxa"/>
            <w:vAlign w:val="center"/>
          </w:tcPr>
          <w:p>
            <w:pPr>
              <w:snapToGrid w:val="0"/>
              <w:jc w:val="center"/>
              <w:rPr>
                <w:rFonts w:ascii="仿宋_GB2312" w:hAnsi="仿宋_GB2312" w:eastAsia="仿宋_GB2312" w:cs="仿宋_GB2312"/>
              </w:rPr>
            </w:pPr>
            <w:r>
              <w:rPr>
                <w:rFonts w:ascii="仿宋_GB2312" w:hAnsi="仿宋_GB2312" w:eastAsia="仿宋_GB2312" w:cs="仿宋_GB2312"/>
              </w:rPr>
              <w:t>10</w:t>
            </w:r>
          </w:p>
        </w:tc>
        <w:tc>
          <w:tcPr>
            <w:tcW w:w="3959" w:type="dxa"/>
            <w:vAlign w:val="center"/>
          </w:tcPr>
          <w:p>
            <w:pPr>
              <w:snapToGrid w:val="0"/>
              <w:jc w:val="left"/>
              <w:rPr>
                <w:rFonts w:ascii="仿宋_GB2312" w:hAnsi="仿宋_GB2312" w:eastAsia="仿宋_GB2312" w:cs="仿宋_GB2312"/>
              </w:rPr>
            </w:pPr>
            <w:r>
              <w:rPr>
                <w:rFonts w:hint="eastAsia" w:ascii="仿宋_GB2312" w:hAnsi="仿宋_GB2312" w:eastAsia="仿宋_GB2312" w:cs="仿宋_GB2312"/>
              </w:rPr>
              <w:t>信用记录（</w:t>
            </w:r>
            <w:r>
              <w:rPr>
                <w:rFonts w:hint="eastAsia" w:ascii="仿宋_GB2312" w:hAnsi="仿宋_GB2312" w:eastAsia="仿宋_GB2312" w:cs="仿宋_GB2312"/>
                <w:szCs w:val="21"/>
              </w:rPr>
              <w:t>采购人或采购代理机构将按照招标文件规定的审查期间内进行查询</w:t>
            </w:r>
            <w:r>
              <w:rPr>
                <w:rFonts w:hint="eastAsia" w:ascii="仿宋_GB2312" w:hAnsi="仿宋_GB2312" w:eastAsia="仿宋_GB2312" w:cs="仿宋_GB2312"/>
              </w:rPr>
              <w:t>）</w:t>
            </w:r>
          </w:p>
          <w:p>
            <w:pPr>
              <w:snapToGrid w:val="0"/>
              <w:jc w:val="left"/>
              <w:rPr>
                <w:rFonts w:ascii="仿宋_GB2312" w:hAnsi="仿宋_GB2312" w:eastAsia="仿宋_GB2312" w:cs="仿宋_GB2312"/>
              </w:rPr>
            </w:pPr>
            <w:r>
              <w:rPr>
                <w:rFonts w:hint="eastAsia" w:ascii="仿宋_GB2312" w:hAnsi="仿宋_GB2312" w:eastAsia="仿宋_GB2312" w:cs="仿宋_GB2312"/>
              </w:rPr>
              <w:t>联合体各方均需查询（如适用）</w:t>
            </w:r>
          </w:p>
        </w:tc>
        <w:tc>
          <w:tcPr>
            <w:tcW w:w="2003" w:type="dxa"/>
          </w:tcPr>
          <w:p>
            <w:pPr>
              <w:pStyle w:val="3"/>
              <w:adjustRightInd w:val="0"/>
              <w:snapToGrid w:val="0"/>
              <w:spacing w:before="0" w:after="0" w:line="240" w:lineRule="auto"/>
              <w:jc w:val="left"/>
              <w:rPr>
                <w:rFonts w:ascii="仿宋_GB2312" w:hAnsi="仿宋_GB2312" w:eastAsia="仿宋_GB2312" w:cs="仿宋_GB2312"/>
                <w:b w:val="0"/>
                <w:sz w:val="21"/>
                <w:szCs w:val="21"/>
                <w:lang w:val="en-US" w:eastAsia="zh-CN"/>
              </w:rPr>
            </w:pPr>
            <w:r>
              <w:rPr>
                <w:rFonts w:hint="eastAsia" w:ascii="仿宋_GB2312" w:hAnsi="仿宋_GB2312" w:eastAsia="仿宋_GB2312" w:cs="仿宋_GB2312"/>
                <w:b w:val="0"/>
                <w:sz w:val="21"/>
                <w:szCs w:val="21"/>
                <w:lang w:val="en-US" w:eastAsia="zh-CN"/>
              </w:rPr>
              <w:t>无投标须知22.2.1所述的不良记录</w:t>
            </w:r>
          </w:p>
        </w:tc>
        <w:tc>
          <w:tcPr>
            <w:tcW w:w="923" w:type="dxa"/>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804" w:type="dxa"/>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941" w:type="dxa"/>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46" w:type="dxa"/>
            <w:vAlign w:val="center"/>
          </w:tcPr>
          <w:p>
            <w:pPr>
              <w:snapToGrid w:val="0"/>
              <w:jc w:val="center"/>
              <w:rPr>
                <w:rFonts w:ascii="仿宋_GB2312" w:hAnsi="仿宋_GB2312" w:eastAsia="仿宋_GB2312" w:cs="仿宋_GB2312"/>
              </w:rPr>
            </w:pPr>
          </w:p>
        </w:tc>
        <w:tc>
          <w:tcPr>
            <w:tcW w:w="3959"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结论</w:t>
            </w:r>
          </w:p>
        </w:tc>
        <w:tc>
          <w:tcPr>
            <w:tcW w:w="2003" w:type="dxa"/>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923" w:type="dxa"/>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804" w:type="dxa"/>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941" w:type="dxa"/>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r>
    </w:tbl>
    <w:p>
      <w:pPr>
        <w:snapToGrid w:val="0"/>
        <w:rPr>
          <w:rFonts w:ascii="仿宋_GB2312" w:hAnsi="仿宋_GB2312" w:eastAsia="仿宋_GB2312" w:cs="仿宋_GB2312"/>
        </w:rPr>
      </w:pPr>
      <w:r>
        <w:rPr>
          <w:rFonts w:hint="eastAsia" w:ascii="仿宋_GB2312" w:hAnsi="仿宋_GB2312" w:eastAsia="仿宋_GB2312" w:cs="仿宋_GB2312"/>
        </w:rPr>
        <w:t>填表说明：1、每项内容审查合格，在表中填写“√”；不合格填写“×”</w:t>
      </w:r>
    </w:p>
    <w:p>
      <w:pPr>
        <w:snapToGrid w:val="0"/>
        <w:rPr>
          <w:rFonts w:ascii="仿宋_GB2312" w:hAnsi="仿宋_GB2312" w:eastAsia="仿宋_GB2312" w:cs="仿宋_GB2312"/>
        </w:rPr>
      </w:pPr>
      <w:r>
        <w:rPr>
          <w:rFonts w:hint="eastAsia" w:ascii="仿宋_GB2312" w:hAnsi="仿宋_GB2312" w:eastAsia="仿宋_GB2312" w:cs="仿宋_GB2312"/>
        </w:rPr>
        <w:t xml:space="preserve">          2、审查结论填写“通过”或“不通过”</w:t>
      </w:r>
    </w:p>
    <w:p>
      <w:pPr>
        <w:rPr>
          <w:rFonts w:ascii="仿宋_GB2312" w:hAnsi="仿宋_GB2312" w:eastAsia="仿宋_GB2312" w:cs="仿宋_GB2312"/>
        </w:rPr>
      </w:pPr>
    </w:p>
    <w:p>
      <w:pPr>
        <w:pStyle w:val="10"/>
        <w:widowControl w:val="0"/>
        <w:snapToGrid w:val="0"/>
        <w:spacing w:before="0" w:beforeAutospacing="0" w:after="0" w:afterAutospacing="0" w:line="480" w:lineRule="auto"/>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审查人签字：</w:t>
      </w:r>
    </w:p>
    <w:p>
      <w:pPr>
        <w:pStyle w:val="10"/>
        <w:widowControl w:val="0"/>
        <w:snapToGrid w:val="0"/>
        <w:spacing w:before="0" w:beforeAutospacing="0" w:after="0" w:afterAutospacing="0" w:line="480" w:lineRule="auto"/>
        <w:jc w:val="both"/>
        <w:rPr>
          <w:rFonts w:ascii="仿宋_GB2312" w:hAnsi="仿宋_GB2312" w:eastAsia="仿宋_GB2312" w:cs="仿宋_GB2312"/>
          <w:bCs/>
          <w:sz w:val="21"/>
          <w:szCs w:val="21"/>
        </w:rPr>
      </w:pPr>
      <w:r>
        <w:rPr>
          <w:rFonts w:hint="eastAsia" w:ascii="仿宋_GB2312" w:hAnsi="仿宋_GB2312" w:eastAsia="仿宋_GB2312" w:cs="仿宋_GB2312"/>
          <w:bCs/>
          <w:sz w:val="21"/>
          <w:szCs w:val="21"/>
        </w:rPr>
        <w:t>日      期：</w:t>
      </w:r>
    </w:p>
    <w:p>
      <w:pPr>
        <w:widowControl/>
        <w:jc w:val="left"/>
        <w:rPr>
          <w:rFonts w:ascii="仿宋_GB2312" w:hAnsi="仿宋_GB2312" w:eastAsia="仿宋_GB2312" w:cs="仿宋_GB2312"/>
          <w:bCs/>
          <w:kern w:val="0"/>
          <w:szCs w:val="21"/>
        </w:rPr>
      </w:pPr>
      <w:r>
        <w:rPr>
          <w:rFonts w:ascii="仿宋_GB2312" w:hAnsi="仿宋_GB2312" w:eastAsia="仿宋_GB2312" w:cs="仿宋_GB2312"/>
          <w:bCs/>
          <w:szCs w:val="21"/>
        </w:rPr>
        <w:br w:type="page"/>
      </w:r>
    </w:p>
    <w:p>
      <w:pPr>
        <w:pStyle w:val="3"/>
        <w:adjustRightInd w:val="0"/>
        <w:snapToGrid w:val="0"/>
        <w:spacing w:before="0" w:after="0" w:line="240" w:lineRule="auto"/>
        <w:jc w:val="left"/>
        <w:rPr>
          <w:rFonts w:ascii="仿宋_GB2312" w:hAnsi="仿宋_GB2312" w:eastAsia="仿宋_GB2312" w:cs="仿宋_GB2312"/>
          <w:szCs w:val="28"/>
        </w:rPr>
      </w:pPr>
      <w:bookmarkStart w:id="182" w:name="_Toc11558_WPSOffice_Level2"/>
      <w:r>
        <w:rPr>
          <w:rFonts w:hint="eastAsia" w:ascii="仿宋_GB2312" w:hAnsi="仿宋_GB2312" w:eastAsia="仿宋_GB2312" w:cs="仿宋_GB2312"/>
          <w:szCs w:val="28"/>
        </w:rPr>
        <w:t xml:space="preserve">附件2                  </w:t>
      </w:r>
      <w:bookmarkEnd w:id="182"/>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符合性审查表</w:t>
      </w:r>
    </w:p>
    <w:tbl>
      <w:tblPr>
        <w:tblStyle w:val="12"/>
        <w:tblW w:w="9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2376"/>
        <w:gridCol w:w="3015"/>
        <w:gridCol w:w="1050"/>
        <w:gridCol w:w="1020"/>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3" w:hRule="atLeast"/>
          <w:jc w:val="center"/>
        </w:trPr>
        <w:tc>
          <w:tcPr>
            <w:tcW w:w="671" w:type="dxa"/>
            <w:vMerge w:val="restart"/>
            <w:vAlign w:val="center"/>
          </w:tcPr>
          <w:p>
            <w:pPr>
              <w:ind w:left="-84" w:leftChars="-40" w:right="-75" w:rightChars="-36"/>
              <w:jc w:val="center"/>
              <w:rPr>
                <w:rFonts w:ascii="仿宋_GB2312" w:hAnsi="仿宋_GB2312" w:eastAsia="仿宋_GB2312" w:cs="仿宋_GB2312"/>
              </w:rPr>
            </w:pPr>
            <w:r>
              <w:rPr>
                <w:rFonts w:hint="eastAsia" w:ascii="仿宋_GB2312" w:hAnsi="仿宋_GB2312" w:eastAsia="仿宋_GB2312" w:cs="仿宋_GB2312"/>
              </w:rPr>
              <w:t>序号</w:t>
            </w:r>
          </w:p>
        </w:tc>
        <w:tc>
          <w:tcPr>
            <w:tcW w:w="2376" w:type="dxa"/>
            <w:vMerge w:val="restart"/>
            <w:vAlign w:val="center"/>
          </w:tcPr>
          <w:p>
            <w:pPr>
              <w:ind w:left="-84" w:leftChars="-40" w:right="-75" w:rightChars="-36"/>
              <w:jc w:val="center"/>
              <w:rPr>
                <w:rFonts w:ascii="仿宋_GB2312" w:hAnsi="仿宋_GB2312" w:eastAsia="仿宋_GB2312" w:cs="仿宋_GB2312"/>
              </w:rPr>
            </w:pPr>
            <w:r>
              <w:rPr>
                <w:rFonts w:hint="eastAsia" w:ascii="仿宋_GB2312" w:hAnsi="仿宋_GB2312" w:eastAsia="仿宋_GB2312" w:cs="仿宋_GB2312"/>
              </w:rPr>
              <w:t>审查项目</w:t>
            </w:r>
          </w:p>
        </w:tc>
        <w:tc>
          <w:tcPr>
            <w:tcW w:w="3015" w:type="dxa"/>
            <w:vMerge w:val="restart"/>
            <w:vAlign w:val="center"/>
          </w:tcPr>
          <w:p>
            <w:pPr>
              <w:ind w:left="-84" w:leftChars="-40" w:right="-75" w:rightChars="-36"/>
              <w:jc w:val="center"/>
              <w:rPr>
                <w:rFonts w:ascii="仿宋_GB2312" w:hAnsi="仿宋_GB2312" w:eastAsia="仿宋_GB2312" w:cs="仿宋_GB2312"/>
              </w:rPr>
            </w:pPr>
            <w:r>
              <w:rPr>
                <w:rFonts w:hint="eastAsia" w:ascii="仿宋_GB2312" w:hAnsi="仿宋_GB2312" w:eastAsia="仿宋_GB2312" w:cs="仿宋_GB2312"/>
              </w:rPr>
              <w:t>审查标准</w:t>
            </w:r>
          </w:p>
        </w:tc>
        <w:tc>
          <w:tcPr>
            <w:tcW w:w="3014" w:type="dxa"/>
            <w:gridSpan w:val="3"/>
            <w:vAlign w:val="center"/>
          </w:tcPr>
          <w:p>
            <w:pPr>
              <w:ind w:left="-84" w:leftChars="-40" w:right="-75" w:rightChars="-36"/>
              <w:jc w:val="center"/>
              <w:rPr>
                <w:rFonts w:ascii="仿宋_GB2312" w:hAnsi="仿宋_GB2312" w:eastAsia="仿宋_GB2312" w:cs="仿宋_GB2312"/>
              </w:rPr>
            </w:pPr>
            <w:r>
              <w:rPr>
                <w:rFonts w:hint="eastAsia" w:ascii="仿宋_GB2312" w:hAnsi="仿宋_GB2312" w:eastAsia="仿宋_GB2312" w:cs="仿宋_GB2312"/>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71" w:type="dxa"/>
            <w:vMerge w:val="continue"/>
            <w:vAlign w:val="center"/>
          </w:tcPr>
          <w:p>
            <w:pPr>
              <w:pStyle w:val="3"/>
              <w:adjustRightInd w:val="0"/>
              <w:snapToGrid w:val="0"/>
              <w:spacing w:before="0" w:after="0" w:line="240" w:lineRule="auto"/>
              <w:rPr>
                <w:rFonts w:ascii="仿宋_GB2312" w:hAnsi="仿宋_GB2312" w:eastAsia="仿宋_GB2312" w:cs="仿宋_GB2312"/>
                <w:lang w:val="en-US" w:eastAsia="zh-CN"/>
              </w:rPr>
            </w:pPr>
          </w:p>
        </w:tc>
        <w:tc>
          <w:tcPr>
            <w:tcW w:w="2376" w:type="dxa"/>
            <w:vMerge w:val="continue"/>
            <w:vAlign w:val="center"/>
          </w:tcPr>
          <w:p>
            <w:pPr>
              <w:pStyle w:val="3"/>
              <w:adjustRightInd w:val="0"/>
              <w:snapToGrid w:val="0"/>
              <w:spacing w:before="0" w:after="0" w:line="240" w:lineRule="auto"/>
              <w:jc w:val="both"/>
              <w:rPr>
                <w:rFonts w:ascii="仿宋_GB2312" w:hAnsi="仿宋_GB2312" w:eastAsia="仿宋_GB2312" w:cs="仿宋_GB2312"/>
                <w:sz w:val="21"/>
                <w:szCs w:val="21"/>
                <w:lang w:val="en-US" w:eastAsia="zh-CN"/>
              </w:rPr>
            </w:pPr>
          </w:p>
        </w:tc>
        <w:tc>
          <w:tcPr>
            <w:tcW w:w="3015" w:type="dxa"/>
            <w:vMerge w:val="continue"/>
            <w:vAlign w:val="center"/>
          </w:tcPr>
          <w:p>
            <w:pPr>
              <w:pStyle w:val="3"/>
              <w:adjustRightInd w:val="0"/>
              <w:snapToGrid w:val="0"/>
              <w:spacing w:before="0" w:after="0" w:line="240" w:lineRule="auto"/>
              <w:jc w:val="both"/>
              <w:rPr>
                <w:rFonts w:ascii="仿宋_GB2312" w:hAnsi="仿宋_GB2312" w:eastAsia="仿宋_GB2312" w:cs="仿宋_GB2312"/>
                <w:sz w:val="21"/>
                <w:szCs w:val="21"/>
                <w:lang w:val="en-US" w:eastAsia="zh-CN"/>
              </w:rPr>
            </w:pPr>
          </w:p>
        </w:tc>
        <w:tc>
          <w:tcPr>
            <w:tcW w:w="1050" w:type="dxa"/>
            <w:vAlign w:val="center"/>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1020" w:type="dxa"/>
            <w:vAlign w:val="center"/>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944" w:type="dxa"/>
            <w:vAlign w:val="center"/>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671" w:type="dxa"/>
            <w:vAlign w:val="center"/>
          </w:tcPr>
          <w:p>
            <w:pPr>
              <w:jc w:val="center"/>
              <w:rPr>
                <w:rFonts w:ascii="仿宋_GB2312" w:hAnsi="仿宋_GB2312" w:eastAsia="仿宋_GB2312" w:cs="仿宋_GB2312"/>
              </w:rPr>
            </w:pPr>
            <w:r>
              <w:rPr>
                <w:rFonts w:hint="eastAsia" w:ascii="仿宋_GB2312" w:hAnsi="仿宋_GB2312" w:eastAsia="仿宋_GB2312" w:cs="仿宋_GB2312"/>
                <w:kern w:val="0"/>
                <w:sz w:val="20"/>
                <w:szCs w:val="21"/>
              </w:rPr>
              <w:t>1</w:t>
            </w:r>
          </w:p>
        </w:tc>
        <w:tc>
          <w:tcPr>
            <w:tcW w:w="2376" w:type="dxa"/>
            <w:vAlign w:val="center"/>
          </w:tcPr>
          <w:p>
            <w:pPr>
              <w:rPr>
                <w:rFonts w:ascii="仿宋_GB2312" w:hAnsi="仿宋_GB2312" w:eastAsia="仿宋_GB2312" w:cs="仿宋_GB2312"/>
                <w:b/>
                <w:szCs w:val="21"/>
              </w:rPr>
            </w:pPr>
            <w:r>
              <w:rPr>
                <w:rFonts w:hint="eastAsia" w:ascii="仿宋_GB2312" w:hAnsi="仿宋_GB2312" w:eastAsia="仿宋_GB2312" w:cs="仿宋_GB2312"/>
                <w:kern w:val="0"/>
                <w:szCs w:val="21"/>
              </w:rPr>
              <w:t>投标函</w:t>
            </w:r>
          </w:p>
        </w:tc>
        <w:tc>
          <w:tcPr>
            <w:tcW w:w="3015" w:type="dxa"/>
            <w:vAlign w:val="center"/>
          </w:tcPr>
          <w:p>
            <w:pPr>
              <w:pStyle w:val="3"/>
              <w:adjustRightInd w:val="0"/>
              <w:snapToGrid w:val="0"/>
              <w:spacing w:before="0" w:after="0" w:line="240" w:lineRule="auto"/>
              <w:jc w:val="both"/>
              <w:rPr>
                <w:rFonts w:ascii="仿宋_GB2312" w:hAnsi="仿宋_GB2312" w:eastAsia="仿宋_GB2312" w:cs="仿宋_GB2312"/>
                <w:b w:val="0"/>
                <w:sz w:val="21"/>
                <w:szCs w:val="21"/>
                <w:lang w:val="en-US" w:eastAsia="zh-CN"/>
              </w:rPr>
            </w:pPr>
            <w:r>
              <w:rPr>
                <w:rFonts w:hint="eastAsia" w:ascii="仿宋_GB2312" w:hAnsi="仿宋_GB2312" w:eastAsia="仿宋_GB2312" w:cs="仿宋_GB2312"/>
                <w:b w:val="0"/>
                <w:sz w:val="21"/>
                <w:szCs w:val="21"/>
                <w:lang w:val="en-US" w:eastAsia="zh-CN"/>
              </w:rPr>
              <w:t>1.按给定格式填写</w:t>
            </w:r>
          </w:p>
          <w:p>
            <w:pPr>
              <w:rPr>
                <w:rFonts w:ascii="仿宋_GB2312" w:hAnsi="仿宋_GB2312" w:eastAsia="仿宋_GB2312" w:cs="仿宋_GB2312"/>
                <w:szCs w:val="21"/>
              </w:rPr>
            </w:pPr>
            <w:r>
              <w:rPr>
                <w:rFonts w:hint="eastAsia" w:ascii="仿宋_GB2312" w:hAnsi="仿宋_GB2312" w:eastAsia="仿宋_GB2312" w:cs="仿宋_GB2312"/>
                <w:szCs w:val="21"/>
              </w:rPr>
              <w:t>2.响应招标文件实质性要求</w:t>
            </w:r>
          </w:p>
          <w:p>
            <w:pPr>
              <w:pStyle w:val="3"/>
              <w:adjustRightInd w:val="0"/>
              <w:snapToGrid w:val="0"/>
              <w:spacing w:before="0" w:after="0" w:line="240" w:lineRule="auto"/>
              <w:jc w:val="both"/>
              <w:rPr>
                <w:rFonts w:ascii="仿宋_GB2312" w:hAnsi="仿宋_GB2312" w:eastAsia="仿宋_GB2312" w:cs="仿宋_GB2312"/>
                <w:b w:val="0"/>
                <w:sz w:val="21"/>
                <w:szCs w:val="21"/>
                <w:lang w:val="en-US" w:eastAsia="zh-CN"/>
              </w:rPr>
            </w:pPr>
            <w:r>
              <w:rPr>
                <w:rFonts w:hint="eastAsia" w:ascii="仿宋_GB2312" w:hAnsi="仿宋_GB2312" w:eastAsia="仿宋_GB2312" w:cs="仿宋_GB2312"/>
                <w:b w:val="0"/>
                <w:sz w:val="21"/>
                <w:szCs w:val="21"/>
                <w:lang w:val="en-US" w:eastAsia="zh-CN"/>
              </w:rPr>
              <w:t>3.按规定签章</w:t>
            </w:r>
          </w:p>
        </w:tc>
        <w:tc>
          <w:tcPr>
            <w:tcW w:w="1050" w:type="dxa"/>
            <w:vAlign w:val="center"/>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1020" w:type="dxa"/>
            <w:vAlign w:val="center"/>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944" w:type="dxa"/>
            <w:vAlign w:val="center"/>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71" w:type="dxa"/>
            <w:vAlign w:val="center"/>
          </w:tcPr>
          <w:p>
            <w:pPr>
              <w:jc w:val="center"/>
              <w:rPr>
                <w:rFonts w:ascii="仿宋_GB2312" w:hAnsi="仿宋_GB2312" w:eastAsia="仿宋_GB2312" w:cs="仿宋_GB2312"/>
              </w:rPr>
            </w:pPr>
            <w:r>
              <w:rPr>
                <w:rFonts w:hint="eastAsia" w:ascii="仿宋_GB2312" w:hAnsi="仿宋_GB2312" w:eastAsia="仿宋_GB2312" w:cs="仿宋_GB2312"/>
                <w:szCs w:val="21"/>
              </w:rPr>
              <w:t>2</w:t>
            </w:r>
          </w:p>
        </w:tc>
        <w:tc>
          <w:tcPr>
            <w:tcW w:w="2376" w:type="dxa"/>
            <w:vAlign w:val="center"/>
          </w:tcPr>
          <w:p>
            <w:pPr>
              <w:rPr>
                <w:rFonts w:ascii="仿宋_GB2312" w:hAnsi="仿宋_GB2312" w:eastAsia="仿宋_GB2312" w:cs="仿宋_GB2312"/>
                <w:b/>
                <w:szCs w:val="21"/>
              </w:rPr>
            </w:pPr>
            <w:r>
              <w:rPr>
                <w:rFonts w:hint="eastAsia" w:ascii="仿宋_GB2312" w:hAnsi="仿宋_GB2312" w:eastAsia="仿宋_GB2312" w:cs="仿宋_GB2312"/>
                <w:kern w:val="0"/>
                <w:sz w:val="20"/>
                <w:szCs w:val="21"/>
              </w:rPr>
              <w:t>递交投标保证金证明</w:t>
            </w:r>
          </w:p>
        </w:tc>
        <w:tc>
          <w:tcPr>
            <w:tcW w:w="3015" w:type="dxa"/>
            <w:vAlign w:val="center"/>
          </w:tcPr>
          <w:p>
            <w:pPr>
              <w:pStyle w:val="3"/>
              <w:adjustRightInd w:val="0"/>
              <w:snapToGrid w:val="0"/>
              <w:spacing w:before="0" w:after="0" w:line="240" w:lineRule="auto"/>
              <w:jc w:val="both"/>
              <w:rPr>
                <w:rFonts w:ascii="仿宋_GB2312" w:hAnsi="仿宋_GB2312" w:eastAsia="仿宋_GB2312" w:cs="仿宋_GB2312"/>
                <w:b w:val="0"/>
                <w:sz w:val="21"/>
                <w:szCs w:val="21"/>
                <w:lang w:val="en-US" w:eastAsia="zh-CN"/>
              </w:rPr>
            </w:pPr>
            <w:r>
              <w:rPr>
                <w:rFonts w:hint="eastAsia" w:ascii="仿宋_GB2312" w:hAnsi="仿宋_GB2312" w:eastAsia="仿宋_GB2312" w:cs="仿宋_GB2312"/>
                <w:b w:val="0"/>
                <w:sz w:val="21"/>
                <w:szCs w:val="21"/>
                <w:lang w:val="en-US" w:eastAsia="zh-CN"/>
              </w:rPr>
              <w:t>1.按要求提供</w:t>
            </w:r>
          </w:p>
          <w:p>
            <w:pPr>
              <w:pStyle w:val="3"/>
              <w:adjustRightInd w:val="0"/>
              <w:snapToGrid w:val="0"/>
              <w:spacing w:before="0" w:after="0" w:line="240" w:lineRule="auto"/>
              <w:jc w:val="both"/>
              <w:rPr>
                <w:rFonts w:ascii="仿宋_GB2312" w:hAnsi="仿宋_GB2312" w:eastAsia="仿宋_GB2312" w:cs="仿宋_GB2312"/>
                <w:b w:val="0"/>
                <w:sz w:val="21"/>
                <w:szCs w:val="21"/>
                <w:lang w:val="en-US" w:eastAsia="zh-CN"/>
              </w:rPr>
            </w:pPr>
            <w:r>
              <w:rPr>
                <w:rFonts w:hint="eastAsia" w:ascii="仿宋_GB2312" w:hAnsi="仿宋_GB2312" w:eastAsia="仿宋_GB2312" w:cs="仿宋_GB2312"/>
                <w:b w:val="0"/>
                <w:sz w:val="21"/>
                <w:szCs w:val="21"/>
                <w:lang w:val="en-US" w:eastAsia="zh-CN"/>
              </w:rPr>
              <w:t>2.合法有效</w:t>
            </w:r>
          </w:p>
        </w:tc>
        <w:tc>
          <w:tcPr>
            <w:tcW w:w="1050" w:type="dxa"/>
            <w:vAlign w:val="center"/>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1020" w:type="dxa"/>
            <w:vAlign w:val="center"/>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944" w:type="dxa"/>
            <w:vAlign w:val="center"/>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671" w:type="dxa"/>
            <w:vAlign w:val="center"/>
          </w:tcPr>
          <w:p>
            <w:pPr>
              <w:jc w:val="center"/>
              <w:rPr>
                <w:rFonts w:ascii="仿宋_GB2312" w:hAnsi="仿宋_GB2312" w:eastAsia="仿宋_GB2312" w:cs="仿宋_GB2312"/>
              </w:rPr>
            </w:pPr>
            <w:r>
              <w:rPr>
                <w:rFonts w:hint="eastAsia" w:ascii="仿宋_GB2312" w:hAnsi="仿宋_GB2312" w:eastAsia="仿宋_GB2312" w:cs="仿宋_GB2312"/>
                <w:kern w:val="0"/>
                <w:szCs w:val="21"/>
              </w:rPr>
              <w:t>3</w:t>
            </w:r>
          </w:p>
        </w:tc>
        <w:tc>
          <w:tcPr>
            <w:tcW w:w="2376" w:type="dxa"/>
            <w:vAlign w:val="center"/>
          </w:tcPr>
          <w:p>
            <w:pPr>
              <w:rPr>
                <w:rFonts w:ascii="仿宋_GB2312" w:hAnsi="仿宋_GB2312" w:eastAsia="仿宋_GB2312" w:cs="仿宋_GB2312"/>
                <w:b/>
                <w:szCs w:val="21"/>
              </w:rPr>
            </w:pPr>
            <w:r>
              <w:rPr>
                <w:rFonts w:hint="eastAsia" w:ascii="仿宋_GB2312" w:hAnsi="仿宋_GB2312" w:eastAsia="仿宋_GB2312" w:cs="仿宋_GB2312"/>
                <w:kern w:val="0"/>
                <w:szCs w:val="21"/>
              </w:rPr>
              <w:t>开标一览表</w:t>
            </w:r>
          </w:p>
        </w:tc>
        <w:tc>
          <w:tcPr>
            <w:tcW w:w="3015" w:type="dxa"/>
            <w:vAlign w:val="center"/>
          </w:tcPr>
          <w:p>
            <w:pPr>
              <w:pStyle w:val="3"/>
              <w:adjustRightInd w:val="0"/>
              <w:snapToGrid w:val="0"/>
              <w:spacing w:before="0" w:after="0" w:line="240" w:lineRule="auto"/>
              <w:jc w:val="both"/>
              <w:rPr>
                <w:rFonts w:ascii="仿宋_GB2312" w:hAnsi="仿宋_GB2312" w:eastAsia="仿宋_GB2312" w:cs="仿宋_GB2312"/>
                <w:b w:val="0"/>
                <w:sz w:val="21"/>
                <w:szCs w:val="21"/>
                <w:lang w:val="en-US" w:eastAsia="zh-CN"/>
              </w:rPr>
            </w:pPr>
            <w:r>
              <w:rPr>
                <w:rFonts w:hint="eastAsia" w:ascii="仿宋_GB2312" w:hAnsi="仿宋_GB2312" w:eastAsia="仿宋_GB2312" w:cs="仿宋_GB2312"/>
                <w:b w:val="0"/>
                <w:sz w:val="21"/>
                <w:szCs w:val="21"/>
                <w:lang w:val="en-US" w:eastAsia="zh-CN"/>
              </w:rPr>
              <w:t>1.按给定格式填写</w:t>
            </w:r>
          </w:p>
          <w:p>
            <w:pPr>
              <w:rPr>
                <w:rFonts w:ascii="仿宋_GB2312" w:hAnsi="仿宋_GB2312" w:eastAsia="仿宋_GB2312" w:cs="仿宋_GB2312"/>
                <w:szCs w:val="21"/>
              </w:rPr>
            </w:pPr>
            <w:r>
              <w:rPr>
                <w:rFonts w:hint="eastAsia" w:ascii="仿宋_GB2312" w:hAnsi="仿宋_GB2312" w:eastAsia="仿宋_GB2312" w:cs="仿宋_GB2312"/>
                <w:szCs w:val="21"/>
              </w:rPr>
              <w:t>2.响应招标文件实质性要求</w:t>
            </w:r>
          </w:p>
          <w:p>
            <w:pPr>
              <w:pStyle w:val="3"/>
              <w:adjustRightInd w:val="0"/>
              <w:snapToGrid w:val="0"/>
              <w:spacing w:before="0" w:after="0" w:line="240" w:lineRule="auto"/>
              <w:jc w:val="both"/>
              <w:rPr>
                <w:rFonts w:ascii="仿宋_GB2312" w:hAnsi="仿宋_GB2312" w:eastAsia="仿宋_GB2312" w:cs="仿宋_GB2312"/>
                <w:b w:val="0"/>
                <w:sz w:val="21"/>
                <w:szCs w:val="21"/>
                <w:lang w:val="en-US" w:eastAsia="zh-CN"/>
              </w:rPr>
            </w:pPr>
            <w:r>
              <w:rPr>
                <w:rFonts w:hint="eastAsia" w:ascii="仿宋_GB2312" w:hAnsi="仿宋_GB2312" w:eastAsia="仿宋_GB2312" w:cs="仿宋_GB2312"/>
                <w:b w:val="0"/>
                <w:sz w:val="21"/>
                <w:szCs w:val="21"/>
                <w:lang w:val="en-US" w:eastAsia="zh-CN"/>
              </w:rPr>
              <w:t>3.按规定签章</w:t>
            </w:r>
          </w:p>
        </w:tc>
        <w:tc>
          <w:tcPr>
            <w:tcW w:w="1050" w:type="dxa"/>
            <w:vAlign w:val="center"/>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1020" w:type="dxa"/>
            <w:vAlign w:val="center"/>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944" w:type="dxa"/>
            <w:vAlign w:val="center"/>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671" w:type="dxa"/>
            <w:vAlign w:val="center"/>
          </w:tcPr>
          <w:p>
            <w:pPr>
              <w:jc w:val="center"/>
              <w:rPr>
                <w:rFonts w:ascii="仿宋_GB2312" w:hAnsi="仿宋_GB2312" w:eastAsia="仿宋_GB2312" w:cs="仿宋_GB2312"/>
              </w:rPr>
            </w:pPr>
            <w:r>
              <w:rPr>
                <w:rFonts w:hint="eastAsia" w:ascii="仿宋_GB2312" w:hAnsi="仿宋_GB2312" w:eastAsia="仿宋_GB2312" w:cs="仿宋_GB2312"/>
                <w:kern w:val="0"/>
                <w:szCs w:val="21"/>
              </w:rPr>
              <w:t>4</w:t>
            </w:r>
          </w:p>
        </w:tc>
        <w:tc>
          <w:tcPr>
            <w:tcW w:w="2376" w:type="dxa"/>
            <w:vAlign w:val="center"/>
          </w:tcPr>
          <w:p>
            <w:pPr>
              <w:rPr>
                <w:rFonts w:ascii="仿宋_GB2312" w:hAnsi="仿宋_GB2312" w:eastAsia="仿宋_GB2312" w:cs="仿宋_GB2312"/>
                <w:b/>
                <w:szCs w:val="21"/>
              </w:rPr>
            </w:pPr>
            <w:r>
              <w:rPr>
                <w:rFonts w:hint="eastAsia" w:ascii="仿宋_GB2312" w:hAnsi="仿宋_GB2312" w:eastAsia="仿宋_GB2312" w:cs="仿宋_GB2312"/>
                <w:kern w:val="0"/>
                <w:szCs w:val="21"/>
              </w:rPr>
              <w:t>服务价格明细表</w:t>
            </w:r>
          </w:p>
        </w:tc>
        <w:tc>
          <w:tcPr>
            <w:tcW w:w="3015" w:type="dxa"/>
            <w:vAlign w:val="center"/>
          </w:tcPr>
          <w:p>
            <w:pPr>
              <w:pStyle w:val="3"/>
              <w:adjustRightInd w:val="0"/>
              <w:snapToGrid w:val="0"/>
              <w:spacing w:before="0" w:after="0" w:line="240" w:lineRule="auto"/>
              <w:jc w:val="both"/>
              <w:rPr>
                <w:rFonts w:ascii="仿宋_GB2312" w:hAnsi="仿宋_GB2312" w:eastAsia="仿宋_GB2312" w:cs="仿宋_GB2312"/>
                <w:b w:val="0"/>
                <w:sz w:val="21"/>
                <w:szCs w:val="21"/>
                <w:lang w:val="en-US" w:eastAsia="zh-CN"/>
              </w:rPr>
            </w:pPr>
            <w:r>
              <w:rPr>
                <w:rFonts w:hint="eastAsia" w:ascii="仿宋_GB2312" w:hAnsi="仿宋_GB2312" w:eastAsia="仿宋_GB2312" w:cs="仿宋_GB2312"/>
                <w:b w:val="0"/>
                <w:sz w:val="21"/>
                <w:szCs w:val="21"/>
                <w:lang w:val="en-US" w:eastAsia="zh-CN"/>
              </w:rPr>
              <w:t>1.按给定格式填写</w:t>
            </w:r>
          </w:p>
          <w:p>
            <w:pPr>
              <w:rPr>
                <w:rFonts w:ascii="仿宋_GB2312" w:hAnsi="仿宋_GB2312" w:eastAsia="仿宋_GB2312" w:cs="仿宋_GB2312"/>
                <w:szCs w:val="21"/>
              </w:rPr>
            </w:pPr>
            <w:r>
              <w:rPr>
                <w:rFonts w:hint="eastAsia" w:ascii="仿宋_GB2312" w:hAnsi="仿宋_GB2312" w:eastAsia="仿宋_GB2312" w:cs="仿宋_GB2312"/>
                <w:szCs w:val="21"/>
              </w:rPr>
              <w:t>2.响应招标文件实质性要求</w:t>
            </w:r>
          </w:p>
          <w:p>
            <w:pPr>
              <w:pStyle w:val="3"/>
              <w:adjustRightInd w:val="0"/>
              <w:snapToGrid w:val="0"/>
              <w:spacing w:before="0" w:after="0" w:line="240" w:lineRule="auto"/>
              <w:jc w:val="both"/>
              <w:rPr>
                <w:rFonts w:ascii="仿宋_GB2312" w:hAnsi="仿宋_GB2312" w:eastAsia="仿宋_GB2312" w:cs="仿宋_GB2312"/>
                <w:b w:val="0"/>
                <w:sz w:val="21"/>
                <w:szCs w:val="21"/>
                <w:lang w:val="en-US" w:eastAsia="zh-CN"/>
              </w:rPr>
            </w:pPr>
            <w:r>
              <w:rPr>
                <w:rFonts w:hint="eastAsia" w:ascii="仿宋_GB2312" w:hAnsi="仿宋_GB2312" w:eastAsia="仿宋_GB2312" w:cs="仿宋_GB2312"/>
                <w:b w:val="0"/>
                <w:sz w:val="21"/>
                <w:szCs w:val="21"/>
                <w:lang w:val="en-US" w:eastAsia="zh-CN"/>
              </w:rPr>
              <w:t>3.按规定签章</w:t>
            </w:r>
          </w:p>
        </w:tc>
        <w:tc>
          <w:tcPr>
            <w:tcW w:w="1050" w:type="dxa"/>
            <w:vAlign w:val="center"/>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1020" w:type="dxa"/>
            <w:vAlign w:val="center"/>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944" w:type="dxa"/>
            <w:vAlign w:val="center"/>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671" w:type="dxa"/>
            <w:vAlign w:val="center"/>
          </w:tcPr>
          <w:p>
            <w:pPr>
              <w:jc w:val="center"/>
              <w:rPr>
                <w:rFonts w:ascii="仿宋_GB2312" w:hAnsi="仿宋_GB2312" w:eastAsia="仿宋_GB2312" w:cs="仿宋_GB2312"/>
              </w:rPr>
            </w:pPr>
            <w:r>
              <w:rPr>
                <w:rFonts w:hint="eastAsia" w:ascii="仿宋_GB2312" w:hAnsi="仿宋_GB2312" w:eastAsia="仿宋_GB2312" w:cs="仿宋_GB2312"/>
                <w:kern w:val="0"/>
                <w:szCs w:val="21"/>
              </w:rPr>
              <w:t>5</w:t>
            </w:r>
          </w:p>
        </w:tc>
        <w:tc>
          <w:tcPr>
            <w:tcW w:w="2376" w:type="dxa"/>
            <w:vAlign w:val="center"/>
          </w:tcPr>
          <w:p>
            <w:pPr>
              <w:rPr>
                <w:rFonts w:ascii="仿宋_GB2312" w:hAnsi="仿宋_GB2312" w:eastAsia="仿宋_GB2312" w:cs="仿宋_GB2312"/>
                <w:b/>
                <w:szCs w:val="21"/>
              </w:rPr>
            </w:pPr>
            <w:r>
              <w:rPr>
                <w:rFonts w:hint="eastAsia" w:ascii="仿宋_GB2312" w:hAnsi="仿宋_GB2312" w:eastAsia="仿宋_GB2312" w:cs="仿宋_GB2312"/>
                <w:kern w:val="0"/>
                <w:szCs w:val="21"/>
              </w:rPr>
              <w:t>服务需求响应表</w:t>
            </w:r>
          </w:p>
        </w:tc>
        <w:tc>
          <w:tcPr>
            <w:tcW w:w="3015" w:type="dxa"/>
            <w:vAlign w:val="center"/>
          </w:tcPr>
          <w:p>
            <w:pPr>
              <w:pStyle w:val="3"/>
              <w:adjustRightInd w:val="0"/>
              <w:snapToGrid w:val="0"/>
              <w:spacing w:before="0" w:after="0" w:line="240" w:lineRule="auto"/>
              <w:jc w:val="both"/>
              <w:rPr>
                <w:rFonts w:ascii="仿宋_GB2312" w:hAnsi="仿宋_GB2312" w:eastAsia="仿宋_GB2312" w:cs="仿宋_GB2312"/>
                <w:b w:val="0"/>
                <w:sz w:val="21"/>
                <w:szCs w:val="21"/>
                <w:lang w:val="en-US" w:eastAsia="zh-CN"/>
              </w:rPr>
            </w:pPr>
            <w:r>
              <w:rPr>
                <w:rFonts w:hint="eastAsia" w:ascii="仿宋_GB2312" w:hAnsi="仿宋_GB2312" w:eastAsia="仿宋_GB2312" w:cs="仿宋_GB2312"/>
                <w:b w:val="0"/>
                <w:sz w:val="21"/>
                <w:szCs w:val="21"/>
                <w:lang w:val="en-US" w:eastAsia="zh-CN"/>
              </w:rPr>
              <w:t>1.按给定格式及填表要求填写</w:t>
            </w:r>
          </w:p>
          <w:p>
            <w:pPr>
              <w:rPr>
                <w:rFonts w:ascii="仿宋_GB2312" w:hAnsi="仿宋_GB2312" w:eastAsia="仿宋_GB2312" w:cs="仿宋_GB2312"/>
                <w:szCs w:val="21"/>
              </w:rPr>
            </w:pPr>
            <w:r>
              <w:rPr>
                <w:rFonts w:hint="eastAsia" w:ascii="仿宋_GB2312" w:hAnsi="仿宋_GB2312" w:eastAsia="仿宋_GB2312" w:cs="仿宋_GB2312"/>
                <w:szCs w:val="21"/>
              </w:rPr>
              <w:t>2.响应招标文件实质性要求</w:t>
            </w:r>
          </w:p>
          <w:p>
            <w:pPr>
              <w:pStyle w:val="3"/>
              <w:adjustRightInd w:val="0"/>
              <w:snapToGrid w:val="0"/>
              <w:spacing w:before="0" w:after="0" w:line="240" w:lineRule="auto"/>
              <w:jc w:val="both"/>
              <w:rPr>
                <w:rFonts w:ascii="仿宋_GB2312" w:hAnsi="仿宋_GB2312" w:eastAsia="仿宋_GB2312" w:cs="仿宋_GB2312"/>
                <w:b w:val="0"/>
                <w:sz w:val="21"/>
                <w:szCs w:val="21"/>
                <w:lang w:val="en-US" w:eastAsia="zh-CN"/>
              </w:rPr>
            </w:pPr>
            <w:r>
              <w:rPr>
                <w:rFonts w:hint="eastAsia" w:ascii="仿宋_GB2312" w:hAnsi="仿宋_GB2312" w:eastAsia="仿宋_GB2312" w:cs="仿宋_GB2312"/>
                <w:b w:val="0"/>
                <w:sz w:val="21"/>
                <w:szCs w:val="21"/>
                <w:lang w:val="en-US" w:eastAsia="zh-CN"/>
              </w:rPr>
              <w:t>3.按规定签章</w:t>
            </w:r>
          </w:p>
        </w:tc>
        <w:tc>
          <w:tcPr>
            <w:tcW w:w="1050" w:type="dxa"/>
            <w:vAlign w:val="center"/>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1020" w:type="dxa"/>
            <w:vAlign w:val="center"/>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944" w:type="dxa"/>
            <w:vAlign w:val="center"/>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671" w:type="dxa"/>
            <w:vAlign w:val="center"/>
          </w:tcPr>
          <w:p>
            <w:pPr>
              <w:jc w:val="center"/>
              <w:rPr>
                <w:rFonts w:ascii="仿宋_GB2312" w:hAnsi="仿宋_GB2312" w:eastAsia="仿宋_GB2312" w:cs="仿宋_GB2312"/>
              </w:rPr>
            </w:pPr>
            <w:r>
              <w:rPr>
                <w:rFonts w:hint="eastAsia" w:ascii="仿宋_GB2312" w:hAnsi="仿宋_GB2312" w:eastAsia="仿宋_GB2312" w:cs="仿宋_GB2312"/>
                <w:kern w:val="0"/>
                <w:szCs w:val="21"/>
              </w:rPr>
              <w:t>6</w:t>
            </w:r>
          </w:p>
        </w:tc>
        <w:tc>
          <w:tcPr>
            <w:tcW w:w="2376" w:type="dxa"/>
            <w:vAlign w:val="center"/>
          </w:tcPr>
          <w:p>
            <w:pPr>
              <w:rPr>
                <w:rFonts w:ascii="仿宋_GB2312" w:hAnsi="仿宋_GB2312" w:eastAsia="仿宋_GB2312" w:cs="仿宋_GB2312"/>
                <w:b/>
                <w:szCs w:val="21"/>
              </w:rPr>
            </w:pPr>
            <w:r>
              <w:rPr>
                <w:rFonts w:hint="eastAsia" w:ascii="仿宋_GB2312" w:hAnsi="仿宋_GB2312" w:eastAsia="仿宋_GB2312" w:cs="仿宋_GB2312"/>
                <w:kern w:val="0"/>
                <w:szCs w:val="21"/>
              </w:rPr>
              <w:t>商务条款偏离表</w:t>
            </w:r>
          </w:p>
        </w:tc>
        <w:tc>
          <w:tcPr>
            <w:tcW w:w="3015" w:type="dxa"/>
            <w:vAlign w:val="center"/>
          </w:tcPr>
          <w:p>
            <w:pPr>
              <w:pStyle w:val="3"/>
              <w:adjustRightInd w:val="0"/>
              <w:snapToGrid w:val="0"/>
              <w:spacing w:before="0" w:after="0" w:line="240" w:lineRule="auto"/>
              <w:jc w:val="both"/>
              <w:rPr>
                <w:rFonts w:ascii="仿宋_GB2312" w:hAnsi="仿宋_GB2312" w:eastAsia="仿宋_GB2312" w:cs="仿宋_GB2312"/>
                <w:b w:val="0"/>
                <w:sz w:val="21"/>
                <w:szCs w:val="21"/>
                <w:lang w:val="en-US" w:eastAsia="zh-CN"/>
              </w:rPr>
            </w:pPr>
            <w:r>
              <w:rPr>
                <w:rFonts w:hint="eastAsia" w:ascii="仿宋_GB2312" w:hAnsi="仿宋_GB2312" w:eastAsia="仿宋_GB2312" w:cs="仿宋_GB2312"/>
                <w:b w:val="0"/>
                <w:sz w:val="21"/>
                <w:szCs w:val="21"/>
                <w:lang w:val="en-US" w:eastAsia="zh-CN"/>
              </w:rPr>
              <w:t>1.按给定格式及填表要求填写</w:t>
            </w:r>
          </w:p>
          <w:p>
            <w:pPr>
              <w:rPr>
                <w:rFonts w:ascii="仿宋_GB2312" w:hAnsi="仿宋_GB2312" w:eastAsia="仿宋_GB2312" w:cs="仿宋_GB2312"/>
                <w:szCs w:val="21"/>
              </w:rPr>
            </w:pPr>
            <w:r>
              <w:rPr>
                <w:rFonts w:hint="eastAsia" w:ascii="仿宋_GB2312" w:hAnsi="仿宋_GB2312" w:eastAsia="仿宋_GB2312" w:cs="仿宋_GB2312"/>
                <w:szCs w:val="21"/>
              </w:rPr>
              <w:t>2.响应招标文件实质性要求</w:t>
            </w:r>
          </w:p>
          <w:p>
            <w:pPr>
              <w:pStyle w:val="3"/>
              <w:adjustRightInd w:val="0"/>
              <w:snapToGrid w:val="0"/>
              <w:spacing w:before="0" w:after="0" w:line="240" w:lineRule="auto"/>
              <w:jc w:val="both"/>
              <w:rPr>
                <w:rFonts w:ascii="仿宋_GB2312" w:hAnsi="仿宋_GB2312" w:eastAsia="仿宋_GB2312" w:cs="仿宋_GB2312"/>
                <w:b w:val="0"/>
                <w:sz w:val="21"/>
                <w:szCs w:val="21"/>
                <w:lang w:val="en-US" w:eastAsia="zh-CN"/>
              </w:rPr>
            </w:pPr>
            <w:r>
              <w:rPr>
                <w:rFonts w:hint="eastAsia" w:ascii="仿宋_GB2312" w:hAnsi="仿宋_GB2312" w:eastAsia="仿宋_GB2312" w:cs="仿宋_GB2312"/>
                <w:b w:val="0"/>
                <w:sz w:val="21"/>
                <w:szCs w:val="21"/>
                <w:lang w:val="en-US" w:eastAsia="zh-CN"/>
              </w:rPr>
              <w:t>3.按规定签章</w:t>
            </w:r>
          </w:p>
        </w:tc>
        <w:tc>
          <w:tcPr>
            <w:tcW w:w="1050" w:type="dxa"/>
            <w:vAlign w:val="center"/>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1020" w:type="dxa"/>
            <w:vAlign w:val="center"/>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944" w:type="dxa"/>
            <w:vAlign w:val="center"/>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71" w:type="dxa"/>
            <w:vAlign w:val="center"/>
          </w:tcPr>
          <w:p>
            <w:pPr>
              <w:jc w:val="center"/>
              <w:rPr>
                <w:rFonts w:ascii="仿宋_GB2312" w:hAnsi="仿宋_GB2312" w:eastAsia="仿宋_GB2312" w:cs="仿宋_GB2312"/>
              </w:rPr>
            </w:pPr>
            <w:r>
              <w:rPr>
                <w:rFonts w:hint="eastAsia" w:ascii="仿宋_GB2312" w:hAnsi="仿宋_GB2312" w:eastAsia="仿宋_GB2312" w:cs="仿宋_GB2312"/>
                <w:kern w:val="0"/>
                <w:szCs w:val="21"/>
              </w:rPr>
              <w:t>7</w:t>
            </w:r>
          </w:p>
        </w:tc>
        <w:tc>
          <w:tcPr>
            <w:tcW w:w="2376" w:type="dxa"/>
            <w:vAlign w:val="center"/>
          </w:tcPr>
          <w:p>
            <w:pPr>
              <w:rPr>
                <w:rFonts w:ascii="仿宋_GB2312" w:hAnsi="仿宋_GB2312" w:eastAsia="仿宋_GB2312" w:cs="仿宋_GB2312"/>
                <w:b/>
                <w:szCs w:val="21"/>
              </w:rPr>
            </w:pPr>
            <w:r>
              <w:rPr>
                <w:rFonts w:hint="eastAsia" w:ascii="仿宋_GB2312" w:hAnsi="仿宋_GB2312" w:eastAsia="仿宋_GB2312" w:cs="仿宋_GB2312"/>
                <w:kern w:val="0"/>
                <w:szCs w:val="21"/>
              </w:rPr>
              <w:t>投标人关联单位说明</w:t>
            </w:r>
          </w:p>
        </w:tc>
        <w:tc>
          <w:tcPr>
            <w:tcW w:w="3015" w:type="dxa"/>
            <w:vAlign w:val="center"/>
          </w:tcPr>
          <w:p>
            <w:pPr>
              <w:pStyle w:val="3"/>
              <w:adjustRightInd w:val="0"/>
              <w:snapToGrid w:val="0"/>
              <w:spacing w:before="0" w:after="0" w:line="240" w:lineRule="auto"/>
              <w:jc w:val="left"/>
              <w:rPr>
                <w:rFonts w:ascii="仿宋_GB2312" w:hAnsi="仿宋_GB2312" w:eastAsia="仿宋_GB2312" w:cs="仿宋_GB2312"/>
                <w:b w:val="0"/>
                <w:sz w:val="21"/>
                <w:szCs w:val="21"/>
                <w:lang w:val="en-US" w:eastAsia="zh-CN"/>
              </w:rPr>
            </w:pPr>
            <w:r>
              <w:rPr>
                <w:rFonts w:hint="eastAsia" w:ascii="仿宋_GB2312" w:hAnsi="仿宋_GB2312" w:eastAsia="仿宋_GB2312" w:cs="仿宋_GB2312"/>
                <w:b w:val="0"/>
                <w:sz w:val="21"/>
                <w:szCs w:val="21"/>
                <w:lang w:val="en-US" w:eastAsia="zh-CN"/>
              </w:rPr>
              <w:t>无投标须知1.5所述情形</w:t>
            </w:r>
          </w:p>
        </w:tc>
        <w:tc>
          <w:tcPr>
            <w:tcW w:w="1050" w:type="dxa"/>
            <w:vAlign w:val="center"/>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1020" w:type="dxa"/>
            <w:vAlign w:val="center"/>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944" w:type="dxa"/>
            <w:vAlign w:val="center"/>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71" w:type="dxa"/>
            <w:vAlign w:val="center"/>
          </w:tcPr>
          <w:p>
            <w:pPr>
              <w:jc w:val="center"/>
              <w:rPr>
                <w:rFonts w:ascii="仿宋_GB2312" w:hAnsi="仿宋_GB2312" w:eastAsia="仿宋_GB2312" w:cs="仿宋_GB2312"/>
              </w:rPr>
            </w:pPr>
            <w:r>
              <w:rPr>
                <w:rFonts w:hint="eastAsia" w:ascii="仿宋_GB2312" w:hAnsi="仿宋_GB2312" w:eastAsia="仿宋_GB2312" w:cs="仿宋_GB2312"/>
                <w:kern w:val="0"/>
                <w:szCs w:val="21"/>
              </w:rPr>
              <w:t>8</w:t>
            </w:r>
          </w:p>
        </w:tc>
        <w:tc>
          <w:tcPr>
            <w:tcW w:w="2376" w:type="dxa"/>
            <w:vAlign w:val="center"/>
          </w:tcPr>
          <w:p>
            <w:pPr>
              <w:rPr>
                <w:rFonts w:ascii="仿宋_GB2312" w:hAnsi="仿宋_GB2312" w:eastAsia="仿宋_GB2312" w:cs="仿宋_GB2312"/>
                <w:b/>
                <w:szCs w:val="21"/>
              </w:rPr>
            </w:pPr>
            <w:r>
              <w:rPr>
                <w:rFonts w:hint="eastAsia" w:ascii="仿宋_GB2312" w:hAnsi="仿宋_GB2312" w:eastAsia="仿宋_GB2312" w:cs="仿宋_GB2312"/>
                <w:kern w:val="0"/>
                <w:szCs w:val="21"/>
              </w:rPr>
              <w:t>其他符合性证明材料</w:t>
            </w:r>
          </w:p>
        </w:tc>
        <w:tc>
          <w:tcPr>
            <w:tcW w:w="3015"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响应招标文件实质性要求</w:t>
            </w:r>
          </w:p>
        </w:tc>
        <w:tc>
          <w:tcPr>
            <w:tcW w:w="1050" w:type="dxa"/>
            <w:vAlign w:val="center"/>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1020" w:type="dxa"/>
            <w:vAlign w:val="center"/>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944" w:type="dxa"/>
            <w:vAlign w:val="center"/>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71"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szCs w:val="21"/>
              </w:rPr>
              <w:t>9</w:t>
            </w:r>
          </w:p>
        </w:tc>
        <w:tc>
          <w:tcPr>
            <w:tcW w:w="2376" w:type="dxa"/>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投标报价</w:t>
            </w:r>
          </w:p>
        </w:tc>
        <w:tc>
          <w:tcPr>
            <w:tcW w:w="3015" w:type="dxa"/>
            <w:vAlign w:val="center"/>
          </w:tcPr>
          <w:p>
            <w:pPr>
              <w:pStyle w:val="3"/>
              <w:adjustRightInd w:val="0"/>
              <w:snapToGrid w:val="0"/>
              <w:spacing w:before="0" w:after="0" w:line="240" w:lineRule="auto"/>
              <w:jc w:val="both"/>
              <w:rPr>
                <w:rFonts w:ascii="仿宋_GB2312" w:hAnsi="仿宋_GB2312" w:eastAsia="仿宋_GB2312" w:cs="仿宋_GB2312"/>
                <w:b w:val="0"/>
                <w:sz w:val="21"/>
                <w:szCs w:val="21"/>
                <w:lang w:val="en-US" w:eastAsia="zh-CN"/>
              </w:rPr>
            </w:pPr>
            <w:r>
              <w:rPr>
                <w:rFonts w:hint="eastAsia" w:ascii="仿宋_GB2312" w:hAnsi="仿宋_GB2312" w:eastAsia="仿宋_GB2312" w:cs="仿宋_GB2312"/>
                <w:b w:val="0"/>
                <w:sz w:val="21"/>
                <w:szCs w:val="21"/>
                <w:lang w:val="en-US" w:eastAsia="zh-CN"/>
              </w:rPr>
              <w:t>1.响应招标文件实质性要求</w:t>
            </w:r>
          </w:p>
          <w:p>
            <w:pPr>
              <w:pStyle w:val="3"/>
              <w:adjustRightInd w:val="0"/>
              <w:snapToGrid w:val="0"/>
              <w:spacing w:before="0" w:after="0" w:line="240" w:lineRule="auto"/>
              <w:jc w:val="both"/>
              <w:rPr>
                <w:rFonts w:ascii="仿宋_GB2312" w:hAnsi="仿宋_GB2312" w:eastAsia="仿宋_GB2312" w:cs="仿宋_GB2312"/>
                <w:b w:val="0"/>
                <w:sz w:val="21"/>
                <w:szCs w:val="21"/>
                <w:lang w:val="en-US" w:eastAsia="zh-CN"/>
              </w:rPr>
            </w:pPr>
            <w:r>
              <w:rPr>
                <w:rFonts w:hint="eastAsia" w:ascii="仿宋_GB2312" w:hAnsi="仿宋_GB2312" w:eastAsia="仿宋_GB2312" w:cs="仿宋_GB2312"/>
                <w:b w:val="0"/>
                <w:sz w:val="21"/>
                <w:szCs w:val="21"/>
                <w:lang w:val="en-US" w:eastAsia="zh-CN"/>
              </w:rPr>
              <w:t>2.无投标须知26.2所述情形</w:t>
            </w:r>
          </w:p>
        </w:tc>
        <w:tc>
          <w:tcPr>
            <w:tcW w:w="1050" w:type="dxa"/>
            <w:vAlign w:val="center"/>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1020" w:type="dxa"/>
            <w:vAlign w:val="center"/>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944" w:type="dxa"/>
            <w:vAlign w:val="center"/>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671"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szCs w:val="21"/>
              </w:rPr>
              <w:t>10</w:t>
            </w:r>
          </w:p>
        </w:tc>
        <w:tc>
          <w:tcPr>
            <w:tcW w:w="2376" w:type="dxa"/>
            <w:vAlign w:val="center"/>
          </w:tcPr>
          <w:p>
            <w:pPr>
              <w:snapToGrid w:val="0"/>
              <w:jc w:val="left"/>
              <w:rPr>
                <w:rFonts w:hint="eastAsia" w:ascii="仿宋" w:hAnsi="仿宋" w:cs="仿宋"/>
                <w:szCs w:val="21"/>
              </w:rPr>
            </w:pPr>
            <w:r>
              <w:rPr>
                <w:rFonts w:hint="eastAsia" w:ascii="仿宋_GB2312" w:hAnsi="仿宋_GB2312" w:eastAsia="仿宋_GB2312" w:cs="仿宋_GB2312"/>
                <w:szCs w:val="21"/>
              </w:rPr>
              <w:t>备份文件与电子评审系统中上传的投标（响应）文件一致性承诺函</w:t>
            </w:r>
          </w:p>
        </w:tc>
        <w:tc>
          <w:tcPr>
            <w:tcW w:w="3015" w:type="dxa"/>
          </w:tcPr>
          <w:p>
            <w:pPr>
              <w:pStyle w:val="3"/>
              <w:adjustRightInd w:val="0"/>
              <w:snapToGrid w:val="0"/>
              <w:spacing w:before="0" w:after="0" w:line="240" w:lineRule="auto"/>
              <w:jc w:val="left"/>
              <w:rPr>
                <w:rFonts w:ascii="仿宋_GB2312" w:hAnsi="仿宋_GB2312" w:eastAsia="仿宋_GB2312" w:cs="仿宋_GB2312"/>
                <w:b w:val="0"/>
                <w:sz w:val="21"/>
                <w:szCs w:val="21"/>
                <w:lang w:val="en-US" w:eastAsia="zh-CN"/>
              </w:rPr>
            </w:pPr>
            <w:r>
              <w:rPr>
                <w:rFonts w:hint="eastAsia" w:ascii="仿宋_GB2312" w:hAnsi="仿宋_GB2312" w:eastAsia="仿宋_GB2312" w:cs="仿宋_GB2312"/>
                <w:b w:val="0"/>
                <w:sz w:val="21"/>
                <w:szCs w:val="21"/>
                <w:lang w:val="en-US" w:eastAsia="zh-CN"/>
              </w:rPr>
              <w:t>1.按给定格式填写</w:t>
            </w:r>
          </w:p>
          <w:p>
            <w:pPr>
              <w:pStyle w:val="3"/>
              <w:adjustRightInd w:val="0"/>
              <w:snapToGrid w:val="0"/>
              <w:spacing w:before="0" w:after="0" w:line="240" w:lineRule="auto"/>
              <w:jc w:val="left"/>
              <w:rPr>
                <w:rFonts w:ascii="仿宋_GB2312" w:hAnsi="仿宋_GB2312" w:eastAsia="仿宋_GB2312" w:cs="仿宋_GB2312"/>
                <w:b w:val="0"/>
                <w:sz w:val="21"/>
                <w:szCs w:val="21"/>
                <w:lang w:val="en-US" w:eastAsia="zh-CN"/>
              </w:rPr>
            </w:pPr>
            <w:r>
              <w:rPr>
                <w:rFonts w:hint="eastAsia" w:ascii="仿宋_GB2312" w:hAnsi="仿宋_GB2312" w:eastAsia="仿宋_GB2312" w:cs="仿宋_GB2312"/>
                <w:b w:val="0"/>
                <w:sz w:val="21"/>
                <w:szCs w:val="21"/>
                <w:lang w:val="en-US" w:eastAsia="zh-CN"/>
              </w:rPr>
              <w:t>2.响应采购文件实质性要求</w:t>
            </w:r>
          </w:p>
          <w:p>
            <w:pPr>
              <w:pStyle w:val="3"/>
              <w:adjustRightInd w:val="0"/>
              <w:snapToGrid w:val="0"/>
              <w:spacing w:before="0" w:after="0" w:line="240" w:lineRule="auto"/>
              <w:jc w:val="left"/>
              <w:rPr>
                <w:rFonts w:hint="eastAsia" w:ascii="仿宋" w:hAnsi="仿宋" w:cs="仿宋"/>
                <w:b w:val="0"/>
                <w:sz w:val="21"/>
                <w:szCs w:val="21"/>
                <w:lang w:val="en-US" w:eastAsia="zh-CN"/>
              </w:rPr>
            </w:pPr>
            <w:r>
              <w:rPr>
                <w:rFonts w:hint="eastAsia" w:ascii="仿宋_GB2312" w:hAnsi="仿宋_GB2312" w:eastAsia="仿宋_GB2312" w:cs="仿宋_GB2312"/>
                <w:b w:val="0"/>
                <w:sz w:val="21"/>
                <w:szCs w:val="21"/>
                <w:lang w:val="en-US" w:eastAsia="zh-CN"/>
              </w:rPr>
              <w:t>3.按规定签章</w:t>
            </w:r>
          </w:p>
        </w:tc>
        <w:tc>
          <w:tcPr>
            <w:tcW w:w="1050" w:type="dxa"/>
            <w:vAlign w:val="center"/>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1020" w:type="dxa"/>
            <w:vAlign w:val="center"/>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944" w:type="dxa"/>
            <w:vAlign w:val="center"/>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71" w:type="dxa"/>
            <w:vAlign w:val="center"/>
          </w:tcPr>
          <w:p>
            <w:pPr>
              <w:snapToGrid w:val="0"/>
              <w:jc w:val="center"/>
              <w:rPr>
                <w:rFonts w:ascii="仿宋_GB2312" w:hAnsi="仿宋_GB2312" w:eastAsia="仿宋_GB2312" w:cs="仿宋_GB2312"/>
              </w:rPr>
            </w:pPr>
          </w:p>
        </w:tc>
        <w:tc>
          <w:tcPr>
            <w:tcW w:w="2376" w:type="dxa"/>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结论</w:t>
            </w:r>
          </w:p>
        </w:tc>
        <w:tc>
          <w:tcPr>
            <w:tcW w:w="3015" w:type="dxa"/>
            <w:vAlign w:val="center"/>
          </w:tcPr>
          <w:p>
            <w:pPr>
              <w:pStyle w:val="3"/>
              <w:adjustRightInd w:val="0"/>
              <w:snapToGrid w:val="0"/>
              <w:spacing w:before="0" w:after="0" w:line="240" w:lineRule="auto"/>
              <w:jc w:val="both"/>
              <w:rPr>
                <w:rFonts w:ascii="仿宋_GB2312" w:hAnsi="仿宋_GB2312" w:eastAsia="仿宋_GB2312" w:cs="仿宋_GB2312"/>
                <w:sz w:val="21"/>
                <w:szCs w:val="21"/>
                <w:lang w:val="en-US" w:eastAsia="zh-CN"/>
              </w:rPr>
            </w:pPr>
          </w:p>
        </w:tc>
        <w:tc>
          <w:tcPr>
            <w:tcW w:w="1050" w:type="dxa"/>
            <w:vAlign w:val="center"/>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1020" w:type="dxa"/>
            <w:vAlign w:val="center"/>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c>
          <w:tcPr>
            <w:tcW w:w="944" w:type="dxa"/>
            <w:vAlign w:val="center"/>
          </w:tcPr>
          <w:p>
            <w:pPr>
              <w:pStyle w:val="3"/>
              <w:adjustRightInd w:val="0"/>
              <w:snapToGrid w:val="0"/>
              <w:spacing w:before="0" w:after="0" w:line="240" w:lineRule="auto"/>
              <w:rPr>
                <w:rFonts w:ascii="仿宋_GB2312" w:hAnsi="仿宋_GB2312" w:eastAsia="仿宋_GB2312" w:cs="仿宋_GB2312"/>
                <w:sz w:val="21"/>
                <w:szCs w:val="21"/>
                <w:lang w:val="en-US" w:eastAsia="zh-CN"/>
              </w:rPr>
            </w:pPr>
          </w:p>
        </w:tc>
      </w:tr>
    </w:tbl>
    <w:p>
      <w:pPr>
        <w:rPr>
          <w:rFonts w:ascii="仿宋_GB2312" w:hAnsi="仿宋_GB2312" w:eastAsia="仿宋_GB2312" w:cs="仿宋_GB2312"/>
        </w:rPr>
      </w:pPr>
      <w:bookmarkStart w:id="183" w:name="_Toc17433_WPSOffice_Level2"/>
      <w:r>
        <w:rPr>
          <w:rFonts w:hint="eastAsia" w:ascii="仿宋_GB2312" w:hAnsi="仿宋_GB2312" w:eastAsia="仿宋_GB2312" w:cs="仿宋_GB2312"/>
        </w:rPr>
        <w:t>注：《辽宁省创新产品和服务目录》内产品、服务证明材料（可视具体情况调整至符合性证明材料及符合性审查表中）</w:t>
      </w:r>
    </w:p>
    <w:p>
      <w:pPr>
        <w:rPr>
          <w:rFonts w:ascii="仿宋_GB2312" w:hAnsi="仿宋_GB2312" w:eastAsia="仿宋_GB2312" w:cs="仿宋_GB2312"/>
        </w:rPr>
      </w:pPr>
      <w:r>
        <w:rPr>
          <w:rFonts w:hint="eastAsia" w:ascii="仿宋_GB2312" w:hAnsi="仿宋_GB2312" w:eastAsia="仿宋_GB2312" w:cs="仿宋_GB2312"/>
        </w:rPr>
        <w:t>填表说明：1、每项内容审查合格，在表中填写“√”；不合格填写“×”</w:t>
      </w:r>
    </w:p>
    <w:p>
      <w:pPr>
        <w:rPr>
          <w:rFonts w:ascii="仿宋_GB2312" w:hAnsi="仿宋_GB2312" w:eastAsia="仿宋_GB2312" w:cs="仿宋_GB2312"/>
        </w:rPr>
      </w:pPr>
      <w:r>
        <w:rPr>
          <w:rFonts w:hint="eastAsia" w:ascii="仿宋_GB2312" w:hAnsi="仿宋_GB2312" w:eastAsia="仿宋_GB2312" w:cs="仿宋_GB2312"/>
        </w:rPr>
        <w:t xml:space="preserve">          2、审查结论填写“通过”或“不通过”</w:t>
      </w:r>
    </w:p>
    <w:p>
      <w:pPr>
        <w:pStyle w:val="10"/>
        <w:widowControl w:val="0"/>
        <w:snapToGrid w:val="0"/>
        <w:spacing w:before="0" w:beforeAutospacing="0" w:after="0" w:afterAutospacing="0"/>
        <w:ind w:left="5903" w:hanging="5880" w:hangingChars="2800"/>
        <w:rPr>
          <w:rFonts w:hint="eastAsia" w:ascii="仿宋_GB2312" w:hAnsi="仿宋_GB2312" w:eastAsia="仿宋_GB2312" w:cs="仿宋_GB2312"/>
          <w:b/>
          <w:sz w:val="21"/>
          <w:szCs w:val="21"/>
        </w:rPr>
      </w:pPr>
    </w:p>
    <w:p>
      <w:pPr>
        <w:pStyle w:val="10"/>
        <w:widowControl w:val="0"/>
        <w:snapToGrid w:val="0"/>
        <w:spacing w:before="0" w:beforeAutospacing="0" w:after="0" w:afterAutospacing="0" w:line="480" w:lineRule="auto"/>
        <w:ind w:left="5880" w:hanging="5880" w:hangingChars="2800"/>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审查人签字： </w:t>
      </w:r>
    </w:p>
    <w:p>
      <w:pPr>
        <w:pStyle w:val="10"/>
        <w:widowControl w:val="0"/>
        <w:snapToGrid w:val="0"/>
        <w:spacing w:before="0" w:beforeAutospacing="0" w:after="0" w:afterAutospacing="0" w:line="480" w:lineRule="auto"/>
        <w:ind w:left="5880" w:hanging="5880" w:hangingChars="2800"/>
        <w:rPr>
          <w:rFonts w:ascii="仿宋_GB2312" w:hAnsi="仿宋_GB2312" w:eastAsia="仿宋_GB2312" w:cs="仿宋_GB2312"/>
          <w:sz w:val="21"/>
          <w:szCs w:val="21"/>
        </w:rPr>
      </w:pPr>
      <w:r>
        <w:rPr>
          <w:rFonts w:hint="eastAsia" w:ascii="仿宋_GB2312" w:hAnsi="仿宋_GB2312" w:eastAsia="仿宋_GB2312" w:cs="仿宋_GB2312"/>
          <w:sz w:val="21"/>
          <w:szCs w:val="21"/>
        </w:rPr>
        <w:t>日      期：</w:t>
      </w:r>
    </w:p>
    <w:p>
      <w:pPr>
        <w:pStyle w:val="10"/>
        <w:widowControl w:val="0"/>
        <w:snapToGrid w:val="0"/>
        <w:spacing w:before="0" w:beforeAutospacing="0" w:after="0" w:afterAutospacing="0" w:line="480" w:lineRule="auto"/>
        <w:rPr>
          <w:rFonts w:ascii="仿宋_GB2312" w:hAnsi="仿宋_GB2312" w:eastAsia="仿宋_GB2312" w:cs="仿宋_GB2312"/>
          <w:sz w:val="21"/>
          <w:szCs w:val="21"/>
        </w:rPr>
      </w:pPr>
      <w:r>
        <w:rPr>
          <w:rFonts w:hint="eastAsia" w:ascii="仿宋_GB2312" w:hAnsi="仿宋_GB2312" w:eastAsia="仿宋_GB2312" w:cs="仿宋_GB2312"/>
          <w:szCs w:val="21"/>
        </w:rPr>
        <w:br w:type="page"/>
      </w:r>
    </w:p>
    <w:p>
      <w:pPr>
        <w:pStyle w:val="3"/>
        <w:adjustRightInd w:val="0"/>
        <w:snapToGrid w:val="0"/>
        <w:spacing w:before="0" w:after="0" w:line="240" w:lineRule="auto"/>
        <w:jc w:val="left"/>
        <w:rPr>
          <w:rFonts w:ascii="仿宋_GB2312" w:hAnsi="仿宋_GB2312" w:eastAsia="仿宋_GB2312" w:cs="仿宋_GB2312"/>
          <w:sz w:val="32"/>
          <w:szCs w:val="32"/>
        </w:rPr>
      </w:pPr>
      <w:r>
        <w:rPr>
          <w:rFonts w:hint="eastAsia" w:ascii="仿宋_GB2312" w:hAnsi="仿宋_GB2312" w:eastAsia="仿宋_GB2312" w:cs="仿宋_GB2312"/>
          <w:szCs w:val="28"/>
        </w:rPr>
        <w:t xml:space="preserve">附件3                   </w:t>
      </w:r>
      <w:r>
        <w:rPr>
          <w:rFonts w:hint="eastAsia" w:ascii="仿宋_GB2312" w:hAnsi="仿宋_GB2312" w:eastAsia="仿宋_GB2312" w:cs="仿宋_GB2312"/>
          <w:sz w:val="32"/>
          <w:szCs w:val="32"/>
        </w:rPr>
        <w:t xml:space="preserve"> </w:t>
      </w:r>
      <w:bookmarkEnd w:id="183"/>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评分细则</w:t>
      </w:r>
    </w:p>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（综合评分法适用）</w:t>
      </w:r>
    </w:p>
    <w:p>
      <w:pPr>
        <w:jc w:val="left"/>
        <w:rPr>
          <w:rFonts w:ascii="仿宋_GB2312" w:hAnsi="仿宋_GB2312" w:eastAsia="仿宋_GB2312" w:cs="仿宋_GB2312"/>
          <w:b/>
          <w:sz w:val="28"/>
          <w:szCs w:val="28"/>
        </w:rPr>
      </w:pPr>
      <w:r>
        <w:rPr>
          <w:rFonts w:hint="eastAsia" w:ascii="仿宋_GB2312" w:hAnsi="仿宋_GB2312" w:eastAsia="仿宋_GB2312" w:cs="仿宋_GB2312"/>
          <w:b/>
          <w:szCs w:val="21"/>
        </w:rPr>
        <w:t>（一）基本评分标准</w:t>
      </w:r>
    </w:p>
    <w:tbl>
      <w:tblPr>
        <w:tblStyle w:val="12"/>
        <w:tblpPr w:leftFromText="180" w:rightFromText="180" w:vertAnchor="text" w:horzAnchor="margin" w:tblpXSpec="center" w:tblpY="10"/>
        <w:tblW w:w="89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1281"/>
        <w:gridCol w:w="5472"/>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275"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before="0" w:beforeAutospacing="0" w:after="0" w:afterAutospacing="0"/>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包号</w:t>
            </w:r>
          </w:p>
        </w:tc>
        <w:tc>
          <w:tcPr>
            <w:tcW w:w="7699" w:type="dxa"/>
            <w:gridSpan w:val="3"/>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before="0" w:beforeAutospacing="0" w:after="0" w:afterAutospacing="0"/>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0</w:t>
            </w:r>
            <w:r>
              <w:rPr>
                <w:rFonts w:ascii="仿宋_GB2312" w:hAnsi="仿宋_GB2312" w:eastAsia="仿宋_GB2312" w:cs="仿宋_GB2312"/>
                <w:kern w:val="2"/>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275"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before="0" w:beforeAutospacing="0" w:after="0" w:afterAutospacing="0"/>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项目</w:t>
            </w:r>
          </w:p>
        </w:tc>
        <w:tc>
          <w:tcPr>
            <w:tcW w:w="1281"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before="0" w:beforeAutospacing="0" w:after="0" w:afterAutospacing="0"/>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分项名称</w:t>
            </w:r>
          </w:p>
        </w:tc>
        <w:tc>
          <w:tcPr>
            <w:tcW w:w="5472"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before="0" w:beforeAutospacing="0" w:after="0" w:afterAutospacing="0"/>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评分标准</w:t>
            </w:r>
          </w:p>
        </w:tc>
        <w:tc>
          <w:tcPr>
            <w:tcW w:w="946"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before="0" w:beforeAutospacing="0" w:after="0" w:afterAutospacing="0"/>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275"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before="0" w:beforeAutospacing="0" w:after="0" w:afterAutospacing="0"/>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价格部分</w:t>
            </w:r>
          </w:p>
        </w:tc>
        <w:tc>
          <w:tcPr>
            <w:tcW w:w="1281"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before="0" w:beforeAutospacing="0" w:after="0" w:afterAutospacing="0"/>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报价</w:t>
            </w:r>
          </w:p>
        </w:tc>
        <w:tc>
          <w:tcPr>
            <w:tcW w:w="5472"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jc w:val="left"/>
              <w:rPr>
                <w:rFonts w:ascii="仿宋_GB2312" w:hAnsi="仿宋_GB2312" w:eastAsia="仿宋_GB2312" w:cs="仿宋_GB2312"/>
                <w:kern w:val="0"/>
                <w:szCs w:val="21"/>
              </w:rPr>
            </w:pPr>
            <w:r>
              <w:rPr>
                <w:rFonts w:ascii="仿宋_GB2312" w:hAnsi="仿宋_GB2312" w:eastAsia="仿宋_GB2312" w:cs="仿宋_GB2312"/>
                <w:kern w:val="0"/>
                <w:szCs w:val="21"/>
              </w:rPr>
              <w:t>价格分应当采用低价优先法计算，即满足招标文件要求且投标价格最低的投标报价为评标基准价，其价格分为满分。其他投标人的价格分统一按照下列公式计算：</w:t>
            </w:r>
          </w:p>
          <w:p>
            <w:pPr>
              <w:adjustRightInd w:val="0"/>
              <w:snapToGrid w:val="0"/>
              <w:ind w:firstLine="420" w:firstLineChars="200"/>
              <w:jc w:val="left"/>
              <w:rPr>
                <w:rFonts w:ascii="仿宋_GB2312" w:hAnsi="仿宋_GB2312" w:eastAsia="仿宋_GB2312" w:cs="仿宋_GB2312"/>
                <w:kern w:val="0"/>
                <w:szCs w:val="21"/>
              </w:rPr>
            </w:pPr>
            <w:r>
              <w:rPr>
                <w:rFonts w:ascii="仿宋_GB2312" w:hAnsi="仿宋_GB2312" w:eastAsia="仿宋_GB2312" w:cs="仿宋_GB2312"/>
                <w:kern w:val="0"/>
                <w:szCs w:val="21"/>
              </w:rPr>
              <w:t>投标报价得分=(评标基准价／投标报价)</w:t>
            </w:r>
            <w:r>
              <w:rPr>
                <w:rFonts w:hint="eastAsia" w:ascii="仿宋_GB2312" w:hAnsi="仿宋_GB2312" w:eastAsia="仿宋_GB2312" w:cs="仿宋_GB2312"/>
                <w:kern w:val="0"/>
                <w:szCs w:val="21"/>
              </w:rPr>
              <w:t>×价格权值（10%）</w:t>
            </w:r>
            <w:r>
              <w:rPr>
                <w:rFonts w:ascii="仿宋_GB2312" w:hAnsi="仿宋_GB2312" w:eastAsia="仿宋_GB2312" w:cs="仿宋_GB2312"/>
                <w:kern w:val="0"/>
                <w:szCs w:val="21"/>
              </w:rPr>
              <w:t>×100</w:t>
            </w:r>
          </w:p>
          <w:p>
            <w:pPr>
              <w:adjustRightInd w:val="0"/>
              <w:snapToGrid w:val="0"/>
              <w:ind w:firstLine="420" w:firstLineChars="200"/>
              <w:jc w:val="left"/>
              <w:rPr>
                <w:rFonts w:ascii="仿宋_GB2312" w:hAnsi="仿宋_GB2312" w:eastAsia="仿宋_GB2312" w:cs="仿宋_GB2312"/>
                <w:kern w:val="0"/>
                <w:szCs w:val="21"/>
              </w:rPr>
            </w:pPr>
            <w:r>
              <w:rPr>
                <w:rFonts w:ascii="仿宋_GB2312" w:hAnsi="仿宋_GB2312" w:eastAsia="仿宋_GB2312" w:cs="仿宋_GB2312"/>
                <w:kern w:val="0"/>
                <w:szCs w:val="21"/>
              </w:rPr>
              <w:t>评标过程中，不得去掉报价中的最高报价和最低报价。</w:t>
            </w:r>
          </w:p>
          <w:p>
            <w:pPr>
              <w:adjustRightInd w:val="0"/>
              <w:snapToGrid w:val="0"/>
              <w:jc w:val="left"/>
              <w:rPr>
                <w:rFonts w:ascii="仿宋_GB2312" w:hAnsi="仿宋_GB2312" w:eastAsia="仿宋_GB2312" w:cs="仿宋_GB2312"/>
                <w:kern w:val="0"/>
                <w:szCs w:val="21"/>
              </w:rPr>
            </w:pPr>
            <w:r>
              <w:rPr>
                <w:rFonts w:ascii="仿宋_GB2312" w:hAnsi="仿宋_GB2312" w:eastAsia="仿宋_GB2312" w:cs="仿宋_GB2312"/>
                <w:kern w:val="0"/>
                <w:szCs w:val="21"/>
              </w:rPr>
              <w:t>因落实政府采购政策进行价格调整的，以调整后的价格计算评标基准价和投标报价。</w:t>
            </w:r>
          </w:p>
        </w:tc>
        <w:tc>
          <w:tcPr>
            <w:tcW w:w="946"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before="0" w:beforeAutospacing="0" w:after="0" w:afterAutospacing="0"/>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1</w:t>
            </w:r>
            <w:r>
              <w:rPr>
                <w:rFonts w:ascii="仿宋_GB2312" w:hAnsi="仿宋_GB2312" w:eastAsia="仿宋_GB2312" w:cs="仿宋_GB2312"/>
                <w:kern w:val="2"/>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275" w:type="dxa"/>
            <w:vMerge w:val="restart"/>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before="0" w:beforeAutospacing="0" w:after="0" w:afterAutospacing="0"/>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技术部分</w:t>
            </w:r>
          </w:p>
        </w:tc>
        <w:tc>
          <w:tcPr>
            <w:tcW w:w="1281"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before="0" w:beforeAutospacing="0" w:after="0" w:afterAutospacing="0"/>
              <w:jc w:val="center"/>
              <w:rPr>
                <w:rFonts w:ascii="仿宋_GB2312" w:hAnsi="Times New Roman" w:eastAsia="仿宋_GB2312" w:cs="Times New Roman"/>
                <w:color w:val="000000"/>
                <w:sz w:val="21"/>
              </w:rPr>
            </w:pPr>
            <w:r>
              <w:rPr>
                <w:rFonts w:hint="eastAsia" w:ascii="仿宋_GB2312" w:hAnsi="Times New Roman" w:eastAsia="仿宋_GB2312" w:cs="Times New Roman"/>
                <w:color w:val="000000"/>
                <w:sz w:val="21"/>
              </w:rPr>
              <w:t>项目理解</w:t>
            </w:r>
          </w:p>
        </w:tc>
        <w:tc>
          <w:tcPr>
            <w:tcW w:w="54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color w:val="000000"/>
                <w:kern w:val="0"/>
              </w:rPr>
            </w:pPr>
            <w:r>
              <w:rPr>
                <w:rFonts w:hint="eastAsia" w:ascii="仿宋_GB2312" w:eastAsia="仿宋_GB2312"/>
                <w:color w:val="000000"/>
                <w:kern w:val="0"/>
              </w:rPr>
              <w:t>1、供应商能够充分理解项目需求，对本项目实施重点、关键点分析详细准确的，得</w:t>
            </w:r>
            <w:r>
              <w:rPr>
                <w:rFonts w:ascii="仿宋_GB2312" w:eastAsia="仿宋_GB2312"/>
                <w:color w:val="000000"/>
                <w:kern w:val="0"/>
              </w:rPr>
              <w:t>15</w:t>
            </w:r>
            <w:r>
              <w:rPr>
                <w:rFonts w:hint="eastAsia" w:ascii="仿宋_GB2312" w:eastAsia="仿宋_GB2312"/>
                <w:color w:val="000000"/>
                <w:kern w:val="0"/>
              </w:rPr>
              <w:t>分；</w:t>
            </w:r>
          </w:p>
          <w:p>
            <w:pPr>
              <w:pStyle w:val="28"/>
              <w:adjustRightInd w:val="0"/>
              <w:snapToGrid w:val="0"/>
              <w:ind w:firstLine="0" w:firstLineChars="0"/>
              <w:jc w:val="left"/>
              <w:rPr>
                <w:rFonts w:ascii="仿宋_GB2312" w:eastAsia="仿宋_GB2312"/>
                <w:color w:val="000000"/>
                <w:kern w:val="0"/>
              </w:rPr>
            </w:pPr>
            <w:r>
              <w:rPr>
                <w:rFonts w:hint="eastAsia" w:ascii="仿宋_GB2312" w:eastAsia="仿宋_GB2312"/>
                <w:color w:val="000000"/>
                <w:kern w:val="0"/>
              </w:rPr>
              <w:t>2、供应商对本项目需求较为了解，对项目实施重点、关键点分析较为详细的，得</w:t>
            </w:r>
            <w:r>
              <w:rPr>
                <w:rFonts w:ascii="仿宋_GB2312" w:eastAsia="仿宋_GB2312"/>
                <w:color w:val="000000"/>
                <w:kern w:val="0"/>
              </w:rPr>
              <w:t>10</w:t>
            </w:r>
            <w:r>
              <w:rPr>
                <w:rFonts w:hint="eastAsia" w:ascii="仿宋_GB2312" w:eastAsia="仿宋_GB2312"/>
                <w:color w:val="000000"/>
                <w:kern w:val="0"/>
              </w:rPr>
              <w:t>分；</w:t>
            </w:r>
          </w:p>
          <w:p>
            <w:pPr>
              <w:pStyle w:val="28"/>
              <w:adjustRightInd w:val="0"/>
              <w:snapToGrid w:val="0"/>
              <w:ind w:firstLine="0" w:firstLineChars="0"/>
              <w:jc w:val="left"/>
              <w:rPr>
                <w:rFonts w:ascii="仿宋_GB2312" w:eastAsia="仿宋_GB2312"/>
                <w:color w:val="000000"/>
                <w:kern w:val="0"/>
              </w:rPr>
            </w:pPr>
            <w:r>
              <w:rPr>
                <w:rFonts w:hint="eastAsia" w:ascii="仿宋_GB2312" w:eastAsia="仿宋_GB2312"/>
                <w:color w:val="000000"/>
                <w:kern w:val="0"/>
              </w:rPr>
              <w:t>3、供应商对本项目理解程度一般，项目实施重点、关键点分析程度一般的，得</w:t>
            </w:r>
            <w:r>
              <w:rPr>
                <w:rFonts w:ascii="仿宋_GB2312" w:eastAsia="仿宋_GB2312"/>
                <w:color w:val="000000"/>
                <w:kern w:val="0"/>
              </w:rPr>
              <w:t>4</w:t>
            </w:r>
            <w:r>
              <w:rPr>
                <w:rFonts w:hint="eastAsia" w:ascii="仿宋_GB2312" w:eastAsia="仿宋_GB2312"/>
                <w:color w:val="000000"/>
                <w:kern w:val="0"/>
              </w:rPr>
              <w:t>分；</w:t>
            </w:r>
          </w:p>
          <w:p>
            <w:pPr>
              <w:pStyle w:val="28"/>
              <w:adjustRightInd w:val="0"/>
              <w:snapToGrid w:val="0"/>
              <w:ind w:firstLine="0" w:firstLineChars="0"/>
              <w:jc w:val="left"/>
              <w:rPr>
                <w:rFonts w:ascii="仿宋_GB2312" w:eastAsia="仿宋_GB2312"/>
                <w:color w:val="000000"/>
                <w:kern w:val="0"/>
              </w:rPr>
            </w:pPr>
            <w:r>
              <w:rPr>
                <w:rFonts w:hint="eastAsia" w:ascii="仿宋_GB2312" w:eastAsia="仿宋_GB2312"/>
                <w:color w:val="000000"/>
                <w:kern w:val="0"/>
              </w:rPr>
              <w:t>4、供应商对本项目不能理解，项目实施重点、关键点分析判断不准确或未能提供说明的不得分。</w:t>
            </w:r>
          </w:p>
        </w:tc>
        <w:tc>
          <w:tcPr>
            <w:tcW w:w="946"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before="0" w:beforeAutospacing="0" w:after="0" w:afterAutospacing="0"/>
              <w:jc w:val="center"/>
              <w:rPr>
                <w:rFonts w:ascii="仿宋_GB2312" w:hAnsi="Times New Roman" w:eastAsia="仿宋_GB2312" w:cs="Times New Roman"/>
                <w:color w:val="000000"/>
                <w:sz w:val="21"/>
              </w:rPr>
            </w:pPr>
            <w:r>
              <w:rPr>
                <w:rFonts w:ascii="仿宋_GB2312" w:hAnsi="Times New Roman" w:eastAsia="仿宋_GB2312" w:cs="Times New Roman"/>
                <w:color w:val="000000"/>
                <w:sz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275" w:type="dxa"/>
            <w:vMerge w:val="continue"/>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before="0" w:beforeAutospacing="0" w:after="0" w:afterAutospacing="0"/>
              <w:jc w:val="center"/>
              <w:rPr>
                <w:rFonts w:hint="eastAsia" w:ascii="仿宋_GB2312" w:hAnsi="仿宋_GB2312" w:eastAsia="仿宋_GB2312" w:cs="仿宋_GB2312"/>
                <w:kern w:val="2"/>
                <w:sz w:val="21"/>
                <w:szCs w:val="21"/>
              </w:rPr>
            </w:pPr>
          </w:p>
        </w:tc>
        <w:tc>
          <w:tcPr>
            <w:tcW w:w="1281"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before="0" w:beforeAutospacing="0" w:after="0" w:afterAutospacing="0"/>
              <w:jc w:val="center"/>
              <w:rPr>
                <w:rFonts w:ascii="仿宋_GB2312" w:hAnsi="仿宋_GB2312" w:eastAsia="仿宋_GB2312" w:cs="仿宋_GB2312"/>
                <w:kern w:val="2"/>
                <w:sz w:val="21"/>
              </w:rPr>
            </w:pPr>
            <w:r>
              <w:rPr>
                <w:rFonts w:hint="eastAsia" w:ascii="仿宋_GB2312" w:hAnsi="仿宋_GB2312" w:eastAsia="仿宋_GB2312" w:cs="仿宋_GB2312"/>
                <w:kern w:val="2"/>
                <w:sz w:val="21"/>
              </w:rPr>
              <w:t>技术方案</w:t>
            </w:r>
          </w:p>
        </w:tc>
        <w:tc>
          <w:tcPr>
            <w:tcW w:w="54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Times New Roman" w:eastAsia="仿宋_GB2312" w:cs="Times New Roman"/>
                <w:color w:val="000000"/>
                <w:kern w:val="0"/>
              </w:rPr>
            </w:pPr>
            <w:r>
              <w:rPr>
                <w:rFonts w:hint="eastAsia" w:ascii="仿宋_GB2312" w:hAnsi="Times New Roman" w:eastAsia="仿宋_GB2312" w:cs="Times New Roman"/>
                <w:color w:val="000000"/>
                <w:kern w:val="0"/>
              </w:rPr>
              <w:t>1、技术路线、方法设计、具体步骤详细，每个步骤的关键点表述清晰并具有可操作性，技术参数清晰准确的，得</w:t>
            </w:r>
            <w:r>
              <w:rPr>
                <w:rFonts w:ascii="仿宋_GB2312" w:hAnsi="Times New Roman" w:eastAsia="仿宋_GB2312" w:cs="Times New Roman"/>
                <w:color w:val="000000"/>
                <w:kern w:val="0"/>
              </w:rPr>
              <w:t>15</w:t>
            </w:r>
            <w:r>
              <w:rPr>
                <w:rFonts w:hint="eastAsia" w:ascii="仿宋_GB2312" w:hAnsi="Times New Roman" w:eastAsia="仿宋_GB2312" w:cs="Times New Roman"/>
                <w:color w:val="000000"/>
                <w:kern w:val="0"/>
              </w:rPr>
              <w:t>分；</w:t>
            </w:r>
          </w:p>
          <w:p>
            <w:pPr>
              <w:adjustRightInd w:val="0"/>
              <w:snapToGrid w:val="0"/>
              <w:jc w:val="left"/>
              <w:rPr>
                <w:rFonts w:ascii="仿宋_GB2312" w:hAnsi="Times New Roman" w:eastAsia="仿宋_GB2312" w:cs="Times New Roman"/>
                <w:color w:val="000000"/>
                <w:kern w:val="0"/>
              </w:rPr>
            </w:pPr>
            <w:r>
              <w:rPr>
                <w:rFonts w:hint="eastAsia" w:ascii="仿宋_GB2312" w:hAnsi="Times New Roman" w:eastAsia="仿宋_GB2312" w:cs="Times New Roman"/>
                <w:color w:val="000000"/>
                <w:kern w:val="0"/>
              </w:rPr>
              <w:t>2、技术路线、方法设计、具体步骤较为详细，每个步骤的关键点表述较为清晰并具有一般的可操作性，技术参数较为清晰准确的，得</w:t>
            </w:r>
            <w:r>
              <w:rPr>
                <w:rFonts w:ascii="仿宋_GB2312" w:hAnsi="Times New Roman" w:eastAsia="仿宋_GB2312" w:cs="Times New Roman"/>
                <w:color w:val="000000"/>
                <w:kern w:val="0"/>
              </w:rPr>
              <w:t>10</w:t>
            </w:r>
            <w:r>
              <w:rPr>
                <w:rFonts w:hint="eastAsia" w:ascii="仿宋_GB2312" w:hAnsi="Times New Roman" w:eastAsia="仿宋_GB2312" w:cs="Times New Roman"/>
                <w:color w:val="000000"/>
                <w:kern w:val="0"/>
              </w:rPr>
              <w:t>分；</w:t>
            </w:r>
          </w:p>
          <w:p>
            <w:pPr>
              <w:adjustRightInd w:val="0"/>
              <w:snapToGrid w:val="0"/>
              <w:jc w:val="left"/>
              <w:rPr>
                <w:rFonts w:ascii="仿宋_GB2312" w:hAnsi="Times New Roman" w:eastAsia="仿宋_GB2312" w:cs="Times New Roman"/>
                <w:color w:val="000000"/>
                <w:kern w:val="0"/>
              </w:rPr>
            </w:pPr>
            <w:r>
              <w:rPr>
                <w:rFonts w:hint="eastAsia" w:ascii="仿宋_GB2312" w:hAnsi="Times New Roman" w:eastAsia="仿宋_GB2312" w:cs="Times New Roman"/>
                <w:color w:val="000000"/>
                <w:kern w:val="0"/>
              </w:rPr>
              <w:t>3、技术路线、方法设计、具体步骤不详细，每个步骤的关键点表述不清晰并不具有可操作性，技术参数不清晰准确的，得</w:t>
            </w:r>
            <w:r>
              <w:rPr>
                <w:rFonts w:ascii="仿宋_GB2312" w:hAnsi="Times New Roman" w:eastAsia="仿宋_GB2312" w:cs="Times New Roman"/>
                <w:color w:val="000000"/>
                <w:kern w:val="0"/>
              </w:rPr>
              <w:t>4</w:t>
            </w:r>
            <w:r>
              <w:rPr>
                <w:rFonts w:hint="eastAsia" w:ascii="仿宋_GB2312" w:hAnsi="Times New Roman" w:eastAsia="仿宋_GB2312" w:cs="Times New Roman"/>
                <w:color w:val="000000"/>
                <w:kern w:val="0"/>
              </w:rPr>
              <w:t>分；</w:t>
            </w:r>
          </w:p>
          <w:p>
            <w:pPr>
              <w:adjustRightInd w:val="0"/>
              <w:snapToGrid w:val="0"/>
              <w:jc w:val="left"/>
              <w:rPr>
                <w:rFonts w:ascii="仿宋_GB2312" w:hAnsi="Times New Roman" w:eastAsia="仿宋_GB2312" w:cs="Times New Roman"/>
                <w:color w:val="000000"/>
                <w:kern w:val="0"/>
              </w:rPr>
            </w:pPr>
            <w:r>
              <w:rPr>
                <w:rFonts w:hint="eastAsia" w:ascii="仿宋_GB2312" w:hAnsi="Times New Roman" w:eastAsia="仿宋_GB2312" w:cs="Times New Roman"/>
                <w:color w:val="000000"/>
                <w:kern w:val="0"/>
              </w:rPr>
              <w:t>4、未提供方案不得分。</w:t>
            </w:r>
          </w:p>
        </w:tc>
        <w:tc>
          <w:tcPr>
            <w:tcW w:w="94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eastAsia="仿宋_GB2312"/>
                <w:color w:val="000000"/>
                <w:kern w:val="0"/>
              </w:rPr>
            </w:pPr>
            <w:r>
              <w:rPr>
                <w:rFonts w:ascii="仿宋_GB2312" w:eastAsia="仿宋_GB2312"/>
                <w:color w:val="000000"/>
                <w:kern w:val="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275" w:type="dxa"/>
            <w:vMerge w:val="continue"/>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before="0" w:beforeAutospacing="0" w:after="0" w:afterAutospacing="0"/>
              <w:jc w:val="center"/>
              <w:rPr>
                <w:rFonts w:hint="eastAsia" w:ascii="仿宋_GB2312" w:hAnsi="仿宋_GB2312" w:eastAsia="仿宋_GB2312" w:cs="仿宋_GB2312"/>
                <w:kern w:val="2"/>
                <w:sz w:val="21"/>
                <w:szCs w:val="21"/>
              </w:rPr>
            </w:pPr>
          </w:p>
        </w:tc>
        <w:tc>
          <w:tcPr>
            <w:tcW w:w="1281"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before="0" w:beforeAutospacing="0" w:after="0" w:afterAutospacing="0"/>
              <w:jc w:val="both"/>
              <w:rPr>
                <w:rFonts w:ascii="仿宋_GB2312" w:hAnsi="仿宋_GB2312" w:eastAsia="仿宋_GB2312" w:cs="仿宋_GB2312"/>
                <w:kern w:val="2"/>
                <w:sz w:val="21"/>
              </w:rPr>
            </w:pPr>
            <w:r>
              <w:rPr>
                <w:rFonts w:hint="eastAsia" w:ascii="仿宋_GB2312" w:hAnsi="仿宋_GB2312" w:eastAsia="仿宋_GB2312" w:cs="仿宋_GB2312"/>
                <w:kern w:val="2"/>
                <w:sz w:val="21"/>
              </w:rPr>
              <w:t>质量控制</w:t>
            </w:r>
          </w:p>
        </w:tc>
        <w:tc>
          <w:tcPr>
            <w:tcW w:w="5472"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before="0" w:beforeAutospacing="0" w:after="0" w:afterAutospacing="0"/>
              <w:jc w:val="both"/>
              <w:rPr>
                <w:rFonts w:ascii="仿宋_GB2312" w:hAnsi="仿宋_GB2312" w:eastAsia="仿宋_GB2312" w:cs="仿宋_GB2312"/>
                <w:kern w:val="2"/>
                <w:sz w:val="21"/>
              </w:rPr>
            </w:pPr>
            <w:r>
              <w:rPr>
                <w:rFonts w:hint="eastAsia" w:ascii="仿宋_GB2312" w:hAnsi="仿宋_GB2312" w:eastAsia="仿宋_GB2312" w:cs="仿宋_GB2312"/>
                <w:kern w:val="2"/>
                <w:sz w:val="21"/>
              </w:rPr>
              <w:t>1、方案细致全面、合理，完全响应需求的，得</w:t>
            </w:r>
            <w:r>
              <w:rPr>
                <w:rFonts w:ascii="仿宋_GB2312" w:hAnsi="仿宋_GB2312" w:eastAsia="仿宋_GB2312" w:cs="仿宋_GB2312"/>
                <w:kern w:val="2"/>
                <w:sz w:val="21"/>
              </w:rPr>
              <w:t>9</w:t>
            </w:r>
            <w:r>
              <w:rPr>
                <w:rFonts w:hint="eastAsia" w:ascii="仿宋_GB2312" w:hAnsi="仿宋_GB2312" w:eastAsia="仿宋_GB2312" w:cs="仿宋_GB2312"/>
                <w:kern w:val="2"/>
                <w:sz w:val="21"/>
              </w:rPr>
              <w:t>分；</w:t>
            </w:r>
          </w:p>
          <w:p>
            <w:pPr>
              <w:pStyle w:val="10"/>
              <w:adjustRightInd w:val="0"/>
              <w:snapToGrid w:val="0"/>
              <w:spacing w:before="0" w:beforeAutospacing="0" w:after="0" w:afterAutospacing="0"/>
              <w:jc w:val="both"/>
              <w:rPr>
                <w:rFonts w:ascii="仿宋_GB2312" w:hAnsi="仿宋_GB2312" w:eastAsia="仿宋_GB2312" w:cs="仿宋_GB2312"/>
                <w:kern w:val="2"/>
                <w:sz w:val="21"/>
              </w:rPr>
            </w:pPr>
            <w:r>
              <w:rPr>
                <w:rFonts w:hint="eastAsia" w:ascii="仿宋_GB2312" w:hAnsi="仿宋_GB2312" w:eastAsia="仿宋_GB2312" w:cs="仿宋_GB2312"/>
                <w:kern w:val="2"/>
                <w:sz w:val="21"/>
              </w:rPr>
              <w:t>2、方案较为完整、合理，基本响应需求的，得6分；</w:t>
            </w:r>
          </w:p>
          <w:p>
            <w:pPr>
              <w:pStyle w:val="10"/>
              <w:adjustRightInd w:val="0"/>
              <w:snapToGrid w:val="0"/>
              <w:spacing w:before="0" w:beforeAutospacing="0" w:after="0" w:afterAutospacing="0"/>
              <w:jc w:val="both"/>
              <w:rPr>
                <w:rFonts w:ascii="仿宋_GB2312" w:hAnsi="仿宋_GB2312" w:eastAsia="仿宋_GB2312" w:cs="仿宋_GB2312"/>
                <w:kern w:val="2"/>
                <w:sz w:val="21"/>
              </w:rPr>
            </w:pPr>
            <w:r>
              <w:rPr>
                <w:rFonts w:hint="eastAsia" w:ascii="仿宋_GB2312" w:hAnsi="仿宋_GB2312" w:eastAsia="仿宋_GB2312" w:cs="仿宋_GB2312"/>
                <w:kern w:val="2"/>
                <w:sz w:val="21"/>
              </w:rPr>
              <w:t>3、方案不完整、响应程度低、可行性差，得3分。</w:t>
            </w:r>
          </w:p>
          <w:p>
            <w:pPr>
              <w:pStyle w:val="10"/>
              <w:adjustRightInd w:val="0"/>
              <w:snapToGrid w:val="0"/>
              <w:spacing w:before="0" w:beforeAutospacing="0" w:after="0" w:afterAutospacing="0"/>
              <w:jc w:val="both"/>
              <w:rPr>
                <w:rFonts w:ascii="仿宋_GB2312" w:hAnsi="仿宋_GB2312" w:eastAsia="仿宋_GB2312" w:cs="仿宋_GB2312"/>
                <w:kern w:val="2"/>
                <w:sz w:val="21"/>
              </w:rPr>
            </w:pPr>
            <w:r>
              <w:rPr>
                <w:rFonts w:hint="eastAsia" w:ascii="仿宋_GB2312" w:hAnsi="仿宋_GB2312" w:eastAsia="仿宋_GB2312" w:cs="仿宋_GB2312"/>
                <w:kern w:val="2"/>
                <w:sz w:val="21"/>
              </w:rPr>
              <w:t>4、未提供不得分。</w:t>
            </w:r>
          </w:p>
        </w:tc>
        <w:tc>
          <w:tcPr>
            <w:tcW w:w="94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eastAsia="仿宋_GB2312"/>
                <w:color w:val="000000"/>
                <w:kern w:val="0"/>
              </w:rPr>
            </w:pPr>
            <w:r>
              <w:rPr>
                <w:rFonts w:ascii="仿宋_GB2312" w:eastAsia="仿宋_GB2312"/>
                <w:color w:val="000000"/>
                <w:kern w:val="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275" w:type="dxa"/>
            <w:vMerge w:val="continue"/>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before="0" w:beforeAutospacing="0" w:after="0" w:afterAutospacing="0"/>
              <w:jc w:val="center"/>
              <w:rPr>
                <w:rFonts w:hint="eastAsia" w:ascii="仿宋_GB2312" w:hAnsi="仿宋_GB2312" w:eastAsia="仿宋_GB2312" w:cs="仿宋_GB2312"/>
                <w:kern w:val="2"/>
                <w:sz w:val="21"/>
                <w:szCs w:val="21"/>
              </w:rPr>
            </w:pPr>
          </w:p>
        </w:tc>
        <w:tc>
          <w:tcPr>
            <w:tcW w:w="1281"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before="0" w:beforeAutospacing="0" w:after="0" w:afterAutospacing="0"/>
              <w:jc w:val="both"/>
              <w:rPr>
                <w:rFonts w:ascii="仿宋_GB2312" w:hAnsi="仿宋_GB2312" w:eastAsia="仿宋_GB2312" w:cs="仿宋_GB2312"/>
                <w:kern w:val="2"/>
                <w:sz w:val="21"/>
              </w:rPr>
            </w:pPr>
            <w:r>
              <w:rPr>
                <w:rFonts w:hint="eastAsia" w:ascii="仿宋_GB2312" w:hAnsi="仿宋_GB2312" w:eastAsia="仿宋_GB2312" w:cs="仿宋_GB2312"/>
                <w:kern w:val="2"/>
                <w:sz w:val="21"/>
              </w:rPr>
              <w:t>进度控制</w:t>
            </w:r>
          </w:p>
        </w:tc>
        <w:tc>
          <w:tcPr>
            <w:tcW w:w="5472"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before="0" w:beforeAutospacing="0" w:after="0" w:afterAutospacing="0"/>
              <w:jc w:val="both"/>
              <w:rPr>
                <w:rFonts w:ascii="仿宋_GB2312" w:hAnsi="仿宋_GB2312" w:eastAsia="仿宋_GB2312" w:cs="仿宋_GB2312"/>
                <w:kern w:val="2"/>
                <w:sz w:val="21"/>
              </w:rPr>
            </w:pPr>
            <w:r>
              <w:rPr>
                <w:rFonts w:hint="eastAsia" w:ascii="仿宋_GB2312" w:hAnsi="仿宋_GB2312" w:eastAsia="仿宋_GB2312" w:cs="仿宋_GB2312"/>
                <w:kern w:val="2"/>
                <w:sz w:val="21"/>
              </w:rPr>
              <w:t>1、方案细致全面、合理，完全响应需求的，得</w:t>
            </w:r>
            <w:r>
              <w:rPr>
                <w:rFonts w:ascii="仿宋_GB2312" w:hAnsi="仿宋_GB2312" w:eastAsia="仿宋_GB2312" w:cs="仿宋_GB2312"/>
                <w:kern w:val="2"/>
                <w:sz w:val="21"/>
              </w:rPr>
              <w:t>9</w:t>
            </w:r>
            <w:r>
              <w:rPr>
                <w:rFonts w:hint="eastAsia" w:ascii="仿宋_GB2312" w:hAnsi="仿宋_GB2312" w:eastAsia="仿宋_GB2312" w:cs="仿宋_GB2312"/>
                <w:kern w:val="2"/>
                <w:sz w:val="21"/>
              </w:rPr>
              <w:t>分；</w:t>
            </w:r>
          </w:p>
          <w:p>
            <w:pPr>
              <w:pStyle w:val="10"/>
              <w:adjustRightInd w:val="0"/>
              <w:snapToGrid w:val="0"/>
              <w:spacing w:before="0" w:beforeAutospacing="0" w:after="0" w:afterAutospacing="0"/>
              <w:jc w:val="both"/>
              <w:rPr>
                <w:rFonts w:ascii="仿宋_GB2312" w:hAnsi="仿宋_GB2312" w:eastAsia="仿宋_GB2312" w:cs="仿宋_GB2312"/>
                <w:kern w:val="2"/>
                <w:sz w:val="21"/>
              </w:rPr>
            </w:pPr>
            <w:r>
              <w:rPr>
                <w:rFonts w:hint="eastAsia" w:ascii="仿宋_GB2312" w:hAnsi="仿宋_GB2312" w:eastAsia="仿宋_GB2312" w:cs="仿宋_GB2312"/>
                <w:kern w:val="2"/>
                <w:sz w:val="21"/>
              </w:rPr>
              <w:t>2、方案较为完整、合理，基本响应需求的，得</w:t>
            </w:r>
            <w:r>
              <w:rPr>
                <w:rFonts w:ascii="仿宋_GB2312" w:hAnsi="仿宋_GB2312" w:eastAsia="仿宋_GB2312" w:cs="仿宋_GB2312"/>
                <w:kern w:val="2"/>
                <w:sz w:val="21"/>
              </w:rPr>
              <w:t>6</w:t>
            </w:r>
            <w:r>
              <w:rPr>
                <w:rFonts w:hint="eastAsia" w:ascii="仿宋_GB2312" w:hAnsi="仿宋_GB2312" w:eastAsia="仿宋_GB2312" w:cs="仿宋_GB2312"/>
                <w:kern w:val="2"/>
                <w:sz w:val="21"/>
              </w:rPr>
              <w:t>分；</w:t>
            </w:r>
          </w:p>
          <w:p>
            <w:pPr>
              <w:pStyle w:val="10"/>
              <w:adjustRightInd w:val="0"/>
              <w:snapToGrid w:val="0"/>
              <w:spacing w:before="0" w:beforeAutospacing="0" w:after="0" w:afterAutospacing="0"/>
              <w:jc w:val="both"/>
              <w:rPr>
                <w:rFonts w:ascii="仿宋_GB2312" w:hAnsi="仿宋_GB2312" w:eastAsia="仿宋_GB2312" w:cs="仿宋_GB2312"/>
                <w:kern w:val="2"/>
                <w:sz w:val="21"/>
              </w:rPr>
            </w:pPr>
            <w:r>
              <w:rPr>
                <w:rFonts w:hint="eastAsia" w:ascii="仿宋_GB2312" w:hAnsi="仿宋_GB2312" w:eastAsia="仿宋_GB2312" w:cs="仿宋_GB2312"/>
                <w:kern w:val="2"/>
                <w:sz w:val="21"/>
              </w:rPr>
              <w:t>3、方案不完整、响应程度低、可行性差，得</w:t>
            </w:r>
            <w:r>
              <w:rPr>
                <w:rFonts w:ascii="仿宋_GB2312" w:hAnsi="仿宋_GB2312" w:eastAsia="仿宋_GB2312" w:cs="仿宋_GB2312"/>
                <w:kern w:val="2"/>
                <w:sz w:val="21"/>
              </w:rPr>
              <w:t>3</w:t>
            </w:r>
            <w:r>
              <w:rPr>
                <w:rFonts w:hint="eastAsia" w:ascii="仿宋_GB2312" w:hAnsi="仿宋_GB2312" w:eastAsia="仿宋_GB2312" w:cs="仿宋_GB2312"/>
                <w:kern w:val="2"/>
                <w:sz w:val="21"/>
              </w:rPr>
              <w:t>分。</w:t>
            </w:r>
          </w:p>
          <w:p>
            <w:pPr>
              <w:pStyle w:val="10"/>
              <w:adjustRightInd w:val="0"/>
              <w:snapToGrid w:val="0"/>
              <w:spacing w:before="0" w:beforeAutospacing="0" w:after="0" w:afterAutospacing="0"/>
              <w:jc w:val="both"/>
              <w:rPr>
                <w:rFonts w:ascii="仿宋_GB2312" w:hAnsi="仿宋_GB2312" w:eastAsia="仿宋_GB2312" w:cs="仿宋_GB2312"/>
                <w:kern w:val="2"/>
                <w:sz w:val="21"/>
              </w:rPr>
            </w:pPr>
            <w:r>
              <w:rPr>
                <w:rFonts w:hint="eastAsia" w:ascii="仿宋_GB2312" w:hAnsi="仿宋_GB2312" w:eastAsia="仿宋_GB2312" w:cs="仿宋_GB2312"/>
                <w:kern w:val="2"/>
                <w:sz w:val="21"/>
              </w:rPr>
              <w:t>4、未提供不得分。</w:t>
            </w:r>
          </w:p>
        </w:tc>
        <w:tc>
          <w:tcPr>
            <w:tcW w:w="94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eastAsia="仿宋_GB2312"/>
                <w:color w:val="000000"/>
                <w:kern w:val="0"/>
              </w:rPr>
            </w:pPr>
            <w:r>
              <w:rPr>
                <w:rFonts w:ascii="仿宋_GB2312" w:eastAsia="仿宋_GB2312"/>
                <w:color w:val="000000"/>
                <w:kern w:val="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275" w:type="dxa"/>
            <w:vMerge w:val="continue"/>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before="0" w:beforeAutospacing="0" w:after="0" w:afterAutospacing="0"/>
              <w:jc w:val="center"/>
              <w:rPr>
                <w:rFonts w:hint="eastAsia" w:ascii="仿宋_GB2312" w:hAnsi="仿宋_GB2312" w:eastAsia="仿宋_GB2312" w:cs="仿宋_GB2312"/>
                <w:kern w:val="2"/>
                <w:sz w:val="21"/>
                <w:szCs w:val="21"/>
              </w:rPr>
            </w:pPr>
          </w:p>
        </w:tc>
        <w:tc>
          <w:tcPr>
            <w:tcW w:w="1281"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before="0" w:beforeAutospacing="0" w:after="0" w:afterAutospacing="0"/>
              <w:jc w:val="both"/>
              <w:rPr>
                <w:rFonts w:ascii="仿宋_GB2312" w:hAnsi="仿宋_GB2312" w:eastAsia="仿宋_GB2312" w:cs="仿宋_GB2312"/>
                <w:kern w:val="2"/>
                <w:sz w:val="21"/>
              </w:rPr>
            </w:pPr>
            <w:r>
              <w:rPr>
                <w:rFonts w:hint="eastAsia" w:ascii="仿宋_GB2312" w:hAnsi="仿宋_GB2312" w:eastAsia="仿宋_GB2312" w:cs="仿宋_GB2312"/>
                <w:kern w:val="2"/>
                <w:sz w:val="21"/>
              </w:rPr>
              <w:t>保密措施</w:t>
            </w:r>
          </w:p>
        </w:tc>
        <w:tc>
          <w:tcPr>
            <w:tcW w:w="5472"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before="0" w:beforeAutospacing="0" w:after="0" w:afterAutospacing="0"/>
              <w:jc w:val="both"/>
              <w:rPr>
                <w:rFonts w:ascii="仿宋_GB2312" w:hAnsi="仿宋_GB2312" w:eastAsia="仿宋_GB2312" w:cs="仿宋_GB2312"/>
                <w:kern w:val="2"/>
                <w:sz w:val="21"/>
              </w:rPr>
            </w:pPr>
            <w:r>
              <w:rPr>
                <w:rFonts w:hint="eastAsia" w:ascii="仿宋_GB2312" w:hAnsi="仿宋_GB2312" w:eastAsia="仿宋_GB2312" w:cs="仿宋_GB2312"/>
                <w:kern w:val="2"/>
                <w:sz w:val="21"/>
              </w:rPr>
              <w:t>1、措施细致全面、合理，完全响应需求的，得</w:t>
            </w:r>
            <w:r>
              <w:rPr>
                <w:rFonts w:ascii="仿宋_GB2312" w:hAnsi="仿宋_GB2312" w:eastAsia="仿宋_GB2312" w:cs="仿宋_GB2312"/>
                <w:kern w:val="2"/>
                <w:sz w:val="21"/>
              </w:rPr>
              <w:t>9</w:t>
            </w:r>
            <w:r>
              <w:rPr>
                <w:rFonts w:hint="eastAsia" w:ascii="仿宋_GB2312" w:hAnsi="仿宋_GB2312" w:eastAsia="仿宋_GB2312" w:cs="仿宋_GB2312"/>
                <w:kern w:val="2"/>
                <w:sz w:val="21"/>
              </w:rPr>
              <w:t>分；</w:t>
            </w:r>
          </w:p>
          <w:p>
            <w:pPr>
              <w:pStyle w:val="10"/>
              <w:adjustRightInd w:val="0"/>
              <w:snapToGrid w:val="0"/>
              <w:spacing w:before="0" w:beforeAutospacing="0" w:after="0" w:afterAutospacing="0"/>
              <w:jc w:val="both"/>
              <w:rPr>
                <w:rFonts w:ascii="仿宋_GB2312" w:hAnsi="仿宋_GB2312" w:eastAsia="仿宋_GB2312" w:cs="仿宋_GB2312"/>
                <w:kern w:val="2"/>
                <w:sz w:val="21"/>
              </w:rPr>
            </w:pPr>
            <w:r>
              <w:rPr>
                <w:rFonts w:hint="eastAsia" w:ascii="仿宋_GB2312" w:hAnsi="仿宋_GB2312" w:eastAsia="仿宋_GB2312" w:cs="仿宋_GB2312"/>
                <w:kern w:val="2"/>
                <w:sz w:val="21"/>
              </w:rPr>
              <w:t>2、措施较为完整、合理，基本响应需求的，得</w:t>
            </w:r>
            <w:r>
              <w:rPr>
                <w:rFonts w:ascii="仿宋_GB2312" w:hAnsi="仿宋_GB2312" w:eastAsia="仿宋_GB2312" w:cs="仿宋_GB2312"/>
                <w:kern w:val="2"/>
                <w:sz w:val="21"/>
              </w:rPr>
              <w:t>6</w:t>
            </w:r>
            <w:r>
              <w:rPr>
                <w:rFonts w:hint="eastAsia" w:ascii="仿宋_GB2312" w:hAnsi="仿宋_GB2312" w:eastAsia="仿宋_GB2312" w:cs="仿宋_GB2312"/>
                <w:kern w:val="2"/>
                <w:sz w:val="21"/>
              </w:rPr>
              <w:t>分；</w:t>
            </w:r>
          </w:p>
          <w:p>
            <w:pPr>
              <w:pStyle w:val="10"/>
              <w:adjustRightInd w:val="0"/>
              <w:snapToGrid w:val="0"/>
              <w:spacing w:before="0" w:beforeAutospacing="0" w:after="0" w:afterAutospacing="0"/>
              <w:jc w:val="both"/>
              <w:rPr>
                <w:rFonts w:ascii="仿宋_GB2312" w:hAnsi="仿宋_GB2312" w:eastAsia="仿宋_GB2312" w:cs="仿宋_GB2312"/>
                <w:kern w:val="2"/>
                <w:sz w:val="21"/>
              </w:rPr>
            </w:pPr>
            <w:r>
              <w:rPr>
                <w:rFonts w:hint="eastAsia" w:ascii="仿宋_GB2312" w:hAnsi="仿宋_GB2312" w:eastAsia="仿宋_GB2312" w:cs="仿宋_GB2312"/>
                <w:kern w:val="2"/>
                <w:sz w:val="21"/>
              </w:rPr>
              <w:t>3、措施不完整、响应程度低、可行性差，得</w:t>
            </w:r>
            <w:r>
              <w:rPr>
                <w:rFonts w:ascii="仿宋_GB2312" w:hAnsi="仿宋_GB2312" w:eastAsia="仿宋_GB2312" w:cs="仿宋_GB2312"/>
                <w:kern w:val="2"/>
                <w:sz w:val="21"/>
              </w:rPr>
              <w:t>3</w:t>
            </w:r>
            <w:r>
              <w:rPr>
                <w:rFonts w:hint="eastAsia" w:ascii="仿宋_GB2312" w:hAnsi="仿宋_GB2312" w:eastAsia="仿宋_GB2312" w:cs="仿宋_GB2312"/>
                <w:kern w:val="2"/>
                <w:sz w:val="21"/>
              </w:rPr>
              <w:t>分。</w:t>
            </w:r>
          </w:p>
          <w:p>
            <w:pPr>
              <w:pStyle w:val="10"/>
              <w:adjustRightInd w:val="0"/>
              <w:snapToGrid w:val="0"/>
              <w:spacing w:before="0" w:beforeAutospacing="0" w:after="0" w:afterAutospacing="0"/>
              <w:jc w:val="both"/>
              <w:rPr>
                <w:rFonts w:ascii="仿宋_GB2312" w:hAnsi="仿宋_GB2312" w:eastAsia="仿宋_GB2312" w:cs="仿宋_GB2312"/>
                <w:kern w:val="2"/>
                <w:sz w:val="21"/>
              </w:rPr>
            </w:pPr>
            <w:r>
              <w:rPr>
                <w:rFonts w:hint="eastAsia" w:ascii="仿宋_GB2312" w:hAnsi="仿宋_GB2312" w:eastAsia="仿宋_GB2312" w:cs="仿宋_GB2312"/>
                <w:kern w:val="2"/>
                <w:sz w:val="21"/>
              </w:rPr>
              <w:t>4、未提供不得分。</w:t>
            </w:r>
          </w:p>
        </w:tc>
        <w:tc>
          <w:tcPr>
            <w:tcW w:w="94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eastAsia="仿宋_GB2312"/>
                <w:color w:val="000000"/>
                <w:kern w:val="0"/>
              </w:rPr>
            </w:pPr>
            <w:r>
              <w:rPr>
                <w:rFonts w:ascii="仿宋_GB2312" w:eastAsia="仿宋_GB2312"/>
                <w:color w:val="000000"/>
                <w:kern w:val="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275" w:type="dxa"/>
            <w:vMerge w:val="continue"/>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before="0" w:beforeAutospacing="0" w:after="0" w:afterAutospacing="0"/>
              <w:jc w:val="center"/>
              <w:rPr>
                <w:rFonts w:hint="eastAsia" w:ascii="仿宋_GB2312" w:hAnsi="仿宋_GB2312" w:eastAsia="仿宋_GB2312" w:cs="仿宋_GB2312"/>
                <w:kern w:val="2"/>
                <w:sz w:val="21"/>
                <w:szCs w:val="21"/>
              </w:rPr>
            </w:pPr>
          </w:p>
        </w:tc>
        <w:tc>
          <w:tcPr>
            <w:tcW w:w="1281"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before="0" w:beforeAutospacing="0" w:after="0" w:afterAutospacing="0"/>
              <w:jc w:val="both"/>
              <w:rPr>
                <w:rFonts w:ascii="仿宋_GB2312" w:hAnsi="仿宋_GB2312" w:eastAsia="仿宋_GB2312" w:cs="仿宋_GB2312"/>
                <w:kern w:val="2"/>
                <w:sz w:val="21"/>
              </w:rPr>
            </w:pPr>
            <w:r>
              <w:rPr>
                <w:rFonts w:hint="eastAsia" w:ascii="仿宋_GB2312" w:hAnsi="仿宋_GB2312" w:eastAsia="仿宋_GB2312" w:cs="仿宋_GB2312"/>
                <w:kern w:val="2"/>
                <w:sz w:val="21"/>
              </w:rPr>
              <w:t>机构管理</w:t>
            </w:r>
          </w:p>
        </w:tc>
        <w:tc>
          <w:tcPr>
            <w:tcW w:w="5472"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before="0" w:beforeAutospacing="0" w:after="0" w:afterAutospacing="0"/>
              <w:jc w:val="both"/>
              <w:rPr>
                <w:rFonts w:ascii="仿宋_GB2312" w:hAnsi="仿宋_GB2312" w:eastAsia="仿宋_GB2312" w:cs="仿宋_GB2312"/>
                <w:kern w:val="2"/>
                <w:sz w:val="21"/>
              </w:rPr>
            </w:pPr>
            <w:r>
              <w:rPr>
                <w:rFonts w:hint="eastAsia" w:ascii="仿宋_GB2312" w:hAnsi="仿宋_GB2312" w:eastAsia="仿宋_GB2312" w:cs="仿宋_GB2312"/>
                <w:kern w:val="2"/>
                <w:sz w:val="21"/>
              </w:rPr>
              <w:t>1、机构设置细致全面、合理，完全响应需求的，得</w:t>
            </w:r>
            <w:r>
              <w:rPr>
                <w:rFonts w:ascii="仿宋_GB2312" w:hAnsi="仿宋_GB2312" w:eastAsia="仿宋_GB2312" w:cs="仿宋_GB2312"/>
                <w:kern w:val="2"/>
                <w:sz w:val="21"/>
              </w:rPr>
              <w:t>9</w:t>
            </w:r>
            <w:r>
              <w:rPr>
                <w:rFonts w:hint="eastAsia" w:ascii="仿宋_GB2312" w:hAnsi="仿宋_GB2312" w:eastAsia="仿宋_GB2312" w:cs="仿宋_GB2312"/>
                <w:kern w:val="2"/>
                <w:sz w:val="21"/>
              </w:rPr>
              <w:t>分；</w:t>
            </w:r>
          </w:p>
          <w:p>
            <w:pPr>
              <w:pStyle w:val="10"/>
              <w:adjustRightInd w:val="0"/>
              <w:snapToGrid w:val="0"/>
              <w:spacing w:before="0" w:beforeAutospacing="0" w:after="0" w:afterAutospacing="0"/>
              <w:jc w:val="both"/>
              <w:rPr>
                <w:rFonts w:ascii="仿宋_GB2312" w:hAnsi="仿宋_GB2312" w:eastAsia="仿宋_GB2312" w:cs="仿宋_GB2312"/>
                <w:kern w:val="2"/>
                <w:sz w:val="21"/>
              </w:rPr>
            </w:pPr>
            <w:r>
              <w:rPr>
                <w:rFonts w:hint="eastAsia" w:ascii="仿宋_GB2312" w:hAnsi="仿宋_GB2312" w:eastAsia="仿宋_GB2312" w:cs="仿宋_GB2312"/>
                <w:kern w:val="2"/>
                <w:sz w:val="21"/>
              </w:rPr>
              <w:t>2、机构设置较为完整、合理，基本响应需求的，得</w:t>
            </w:r>
            <w:r>
              <w:rPr>
                <w:rFonts w:ascii="仿宋_GB2312" w:hAnsi="仿宋_GB2312" w:eastAsia="仿宋_GB2312" w:cs="仿宋_GB2312"/>
                <w:kern w:val="2"/>
                <w:sz w:val="21"/>
              </w:rPr>
              <w:t>6</w:t>
            </w:r>
            <w:r>
              <w:rPr>
                <w:rFonts w:hint="eastAsia" w:ascii="仿宋_GB2312" w:hAnsi="仿宋_GB2312" w:eastAsia="仿宋_GB2312" w:cs="仿宋_GB2312"/>
                <w:kern w:val="2"/>
                <w:sz w:val="21"/>
              </w:rPr>
              <w:t>分；</w:t>
            </w:r>
          </w:p>
          <w:p>
            <w:pPr>
              <w:pStyle w:val="10"/>
              <w:adjustRightInd w:val="0"/>
              <w:snapToGrid w:val="0"/>
              <w:spacing w:before="0" w:beforeAutospacing="0" w:after="0" w:afterAutospacing="0"/>
              <w:jc w:val="both"/>
              <w:rPr>
                <w:rFonts w:ascii="仿宋_GB2312" w:hAnsi="仿宋_GB2312" w:eastAsia="仿宋_GB2312" w:cs="仿宋_GB2312"/>
                <w:kern w:val="2"/>
                <w:sz w:val="21"/>
              </w:rPr>
            </w:pPr>
            <w:r>
              <w:rPr>
                <w:rFonts w:hint="eastAsia" w:ascii="仿宋_GB2312" w:hAnsi="仿宋_GB2312" w:eastAsia="仿宋_GB2312" w:cs="仿宋_GB2312"/>
                <w:kern w:val="2"/>
                <w:sz w:val="21"/>
              </w:rPr>
              <w:t>3、机构设置不完整、响应程度低、可行性差，得</w:t>
            </w:r>
            <w:r>
              <w:rPr>
                <w:rFonts w:ascii="仿宋_GB2312" w:hAnsi="仿宋_GB2312" w:eastAsia="仿宋_GB2312" w:cs="仿宋_GB2312"/>
                <w:kern w:val="2"/>
                <w:sz w:val="21"/>
              </w:rPr>
              <w:t>3</w:t>
            </w:r>
            <w:r>
              <w:rPr>
                <w:rFonts w:hint="eastAsia" w:ascii="仿宋_GB2312" w:hAnsi="仿宋_GB2312" w:eastAsia="仿宋_GB2312" w:cs="仿宋_GB2312"/>
                <w:kern w:val="2"/>
                <w:sz w:val="21"/>
              </w:rPr>
              <w:t>分。</w:t>
            </w:r>
          </w:p>
          <w:p>
            <w:pPr>
              <w:pStyle w:val="10"/>
              <w:adjustRightInd w:val="0"/>
              <w:snapToGrid w:val="0"/>
              <w:spacing w:before="0" w:beforeAutospacing="0" w:after="0" w:afterAutospacing="0"/>
              <w:jc w:val="both"/>
              <w:rPr>
                <w:rFonts w:ascii="仿宋_GB2312" w:hAnsi="仿宋_GB2312" w:eastAsia="仿宋_GB2312" w:cs="仿宋_GB2312"/>
                <w:kern w:val="2"/>
                <w:sz w:val="21"/>
              </w:rPr>
            </w:pPr>
            <w:r>
              <w:rPr>
                <w:rFonts w:hint="eastAsia" w:ascii="仿宋_GB2312" w:hAnsi="仿宋_GB2312" w:eastAsia="仿宋_GB2312" w:cs="仿宋_GB2312"/>
                <w:kern w:val="2"/>
                <w:sz w:val="21"/>
              </w:rPr>
              <w:t>4、未提供不得分。</w:t>
            </w:r>
          </w:p>
        </w:tc>
        <w:tc>
          <w:tcPr>
            <w:tcW w:w="94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eastAsia="仿宋_GB2312"/>
                <w:color w:val="000000"/>
                <w:kern w:val="0"/>
              </w:rPr>
            </w:pPr>
            <w:r>
              <w:rPr>
                <w:rFonts w:ascii="仿宋_GB2312" w:eastAsia="仿宋_GB2312"/>
                <w:color w:val="000000"/>
                <w:kern w:val="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275" w:type="dxa"/>
            <w:vMerge w:val="continue"/>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before="0" w:beforeAutospacing="0" w:after="0" w:afterAutospacing="0"/>
              <w:jc w:val="center"/>
              <w:rPr>
                <w:rFonts w:hint="eastAsia" w:ascii="仿宋_GB2312" w:hAnsi="仿宋_GB2312" w:eastAsia="仿宋_GB2312" w:cs="仿宋_GB2312"/>
                <w:kern w:val="2"/>
                <w:sz w:val="21"/>
                <w:szCs w:val="21"/>
              </w:rPr>
            </w:pPr>
          </w:p>
        </w:tc>
        <w:tc>
          <w:tcPr>
            <w:tcW w:w="1281"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before="0" w:beforeAutospacing="0" w:after="0" w:afterAutospacing="0"/>
              <w:jc w:val="both"/>
              <w:rPr>
                <w:rFonts w:ascii="仿宋_GB2312" w:hAnsi="仿宋_GB2312" w:eastAsia="仿宋_GB2312" w:cs="仿宋_GB2312"/>
                <w:kern w:val="2"/>
                <w:sz w:val="21"/>
              </w:rPr>
            </w:pPr>
            <w:r>
              <w:rPr>
                <w:rFonts w:hint="eastAsia" w:ascii="仿宋_GB2312" w:hAnsi="仿宋_GB2312" w:eastAsia="仿宋_GB2312" w:cs="仿宋_GB2312"/>
                <w:kern w:val="2"/>
                <w:sz w:val="21"/>
              </w:rPr>
              <w:t>应急管理</w:t>
            </w:r>
          </w:p>
        </w:tc>
        <w:tc>
          <w:tcPr>
            <w:tcW w:w="5472"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before="0" w:beforeAutospacing="0" w:after="0" w:afterAutospacing="0"/>
              <w:jc w:val="both"/>
              <w:rPr>
                <w:rFonts w:ascii="仿宋_GB2312" w:hAnsi="仿宋_GB2312" w:eastAsia="仿宋_GB2312" w:cs="仿宋_GB2312"/>
                <w:kern w:val="2"/>
                <w:sz w:val="21"/>
              </w:rPr>
            </w:pPr>
            <w:r>
              <w:rPr>
                <w:rFonts w:hint="eastAsia" w:ascii="仿宋_GB2312" w:hAnsi="仿宋_GB2312" w:eastAsia="仿宋_GB2312" w:cs="仿宋_GB2312"/>
                <w:kern w:val="2"/>
                <w:sz w:val="21"/>
              </w:rPr>
              <w:t>1、方案细致全面、合理，完全响应需求的，得</w:t>
            </w:r>
            <w:r>
              <w:rPr>
                <w:rFonts w:ascii="仿宋_GB2312" w:hAnsi="仿宋_GB2312" w:eastAsia="仿宋_GB2312" w:cs="仿宋_GB2312"/>
                <w:kern w:val="2"/>
                <w:sz w:val="21"/>
              </w:rPr>
              <w:t>9</w:t>
            </w:r>
            <w:r>
              <w:rPr>
                <w:rFonts w:hint="eastAsia" w:ascii="仿宋_GB2312" w:hAnsi="仿宋_GB2312" w:eastAsia="仿宋_GB2312" w:cs="仿宋_GB2312"/>
                <w:kern w:val="2"/>
                <w:sz w:val="21"/>
              </w:rPr>
              <w:t>分；</w:t>
            </w:r>
          </w:p>
          <w:p>
            <w:pPr>
              <w:pStyle w:val="10"/>
              <w:adjustRightInd w:val="0"/>
              <w:snapToGrid w:val="0"/>
              <w:spacing w:before="0" w:beforeAutospacing="0" w:after="0" w:afterAutospacing="0"/>
              <w:jc w:val="both"/>
              <w:rPr>
                <w:rFonts w:ascii="仿宋_GB2312" w:hAnsi="仿宋_GB2312" w:eastAsia="仿宋_GB2312" w:cs="仿宋_GB2312"/>
                <w:kern w:val="2"/>
                <w:sz w:val="21"/>
              </w:rPr>
            </w:pPr>
            <w:r>
              <w:rPr>
                <w:rFonts w:hint="eastAsia" w:ascii="仿宋_GB2312" w:hAnsi="仿宋_GB2312" w:eastAsia="仿宋_GB2312" w:cs="仿宋_GB2312"/>
                <w:kern w:val="2"/>
                <w:sz w:val="21"/>
              </w:rPr>
              <w:t>2、方案较为完整、合理，基本响应需求的，得</w:t>
            </w:r>
            <w:r>
              <w:rPr>
                <w:rFonts w:ascii="仿宋_GB2312" w:hAnsi="仿宋_GB2312" w:eastAsia="仿宋_GB2312" w:cs="仿宋_GB2312"/>
                <w:kern w:val="2"/>
                <w:sz w:val="21"/>
              </w:rPr>
              <w:t>6</w:t>
            </w:r>
            <w:r>
              <w:rPr>
                <w:rFonts w:hint="eastAsia" w:ascii="仿宋_GB2312" w:hAnsi="仿宋_GB2312" w:eastAsia="仿宋_GB2312" w:cs="仿宋_GB2312"/>
                <w:kern w:val="2"/>
                <w:sz w:val="21"/>
              </w:rPr>
              <w:t>分；</w:t>
            </w:r>
          </w:p>
          <w:p>
            <w:pPr>
              <w:pStyle w:val="10"/>
              <w:adjustRightInd w:val="0"/>
              <w:snapToGrid w:val="0"/>
              <w:spacing w:before="0" w:beforeAutospacing="0" w:after="0" w:afterAutospacing="0"/>
              <w:jc w:val="both"/>
              <w:rPr>
                <w:rFonts w:ascii="仿宋_GB2312" w:hAnsi="仿宋_GB2312" w:eastAsia="仿宋_GB2312" w:cs="仿宋_GB2312"/>
                <w:kern w:val="2"/>
                <w:sz w:val="21"/>
              </w:rPr>
            </w:pPr>
            <w:r>
              <w:rPr>
                <w:rFonts w:hint="eastAsia" w:ascii="仿宋_GB2312" w:hAnsi="仿宋_GB2312" w:eastAsia="仿宋_GB2312" w:cs="仿宋_GB2312"/>
                <w:kern w:val="2"/>
                <w:sz w:val="21"/>
              </w:rPr>
              <w:t>3、方案不完整、响应程度低、可行性差，得</w:t>
            </w:r>
            <w:r>
              <w:rPr>
                <w:rFonts w:ascii="仿宋_GB2312" w:hAnsi="仿宋_GB2312" w:eastAsia="仿宋_GB2312" w:cs="仿宋_GB2312"/>
                <w:kern w:val="2"/>
                <w:sz w:val="21"/>
              </w:rPr>
              <w:t>3</w:t>
            </w:r>
            <w:r>
              <w:rPr>
                <w:rFonts w:hint="eastAsia" w:ascii="仿宋_GB2312" w:hAnsi="仿宋_GB2312" w:eastAsia="仿宋_GB2312" w:cs="仿宋_GB2312"/>
                <w:kern w:val="2"/>
                <w:sz w:val="21"/>
              </w:rPr>
              <w:t>分。</w:t>
            </w:r>
          </w:p>
          <w:p>
            <w:pPr>
              <w:pStyle w:val="10"/>
              <w:adjustRightInd w:val="0"/>
              <w:snapToGrid w:val="0"/>
              <w:spacing w:before="0" w:beforeAutospacing="0" w:after="0" w:afterAutospacing="0"/>
              <w:jc w:val="both"/>
              <w:rPr>
                <w:rFonts w:ascii="仿宋_GB2312" w:hAnsi="仿宋_GB2312" w:eastAsia="仿宋_GB2312" w:cs="仿宋_GB2312"/>
                <w:kern w:val="2"/>
                <w:sz w:val="21"/>
              </w:rPr>
            </w:pPr>
            <w:r>
              <w:rPr>
                <w:rFonts w:hint="eastAsia" w:ascii="仿宋_GB2312" w:hAnsi="仿宋_GB2312" w:eastAsia="仿宋_GB2312" w:cs="仿宋_GB2312"/>
                <w:kern w:val="2"/>
                <w:sz w:val="21"/>
              </w:rPr>
              <w:t>4、未提供不得分。</w:t>
            </w:r>
          </w:p>
        </w:tc>
        <w:tc>
          <w:tcPr>
            <w:tcW w:w="94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eastAsia="仿宋_GB2312"/>
                <w:color w:val="000000"/>
                <w:kern w:val="0"/>
              </w:rPr>
            </w:pPr>
            <w:r>
              <w:rPr>
                <w:rFonts w:ascii="仿宋_GB2312" w:eastAsia="仿宋_GB2312"/>
                <w:color w:val="000000"/>
                <w:kern w:val="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仿宋_GB2312" w:eastAsia="仿宋_GB2312" w:cs="仿宋_GB2312"/>
                <w:szCs w:val="21"/>
              </w:rPr>
            </w:pPr>
          </w:p>
        </w:tc>
        <w:tc>
          <w:tcPr>
            <w:tcW w:w="1281" w:type="dxa"/>
            <w:tcBorders>
              <w:top w:val="single" w:color="auto" w:sz="4" w:space="0"/>
              <w:left w:val="single" w:color="auto" w:sz="4" w:space="0"/>
              <w:right w:val="single" w:color="auto" w:sz="4" w:space="0"/>
            </w:tcBorders>
            <w:vAlign w:val="center"/>
          </w:tcPr>
          <w:p>
            <w:pPr>
              <w:pStyle w:val="10"/>
              <w:adjustRightInd w:val="0"/>
              <w:snapToGrid w:val="0"/>
              <w:spacing w:before="0" w:beforeAutospacing="0" w:after="0" w:afterAutospacing="0"/>
              <w:jc w:val="both"/>
              <w:rPr>
                <w:rFonts w:ascii="仿宋_GB2312" w:hAnsi="仿宋_GB2312" w:eastAsia="仿宋_GB2312" w:cs="仿宋_GB2312"/>
                <w:kern w:val="2"/>
                <w:sz w:val="21"/>
              </w:rPr>
            </w:pPr>
            <w:r>
              <w:rPr>
                <w:rFonts w:hint="eastAsia" w:ascii="仿宋_GB2312" w:hAnsi="仿宋_GB2312" w:eastAsia="仿宋_GB2312" w:cs="仿宋_GB2312"/>
                <w:kern w:val="2"/>
                <w:sz w:val="21"/>
              </w:rPr>
              <w:t>售后服务</w:t>
            </w:r>
          </w:p>
        </w:tc>
        <w:tc>
          <w:tcPr>
            <w:tcW w:w="5472" w:type="dxa"/>
            <w:tcBorders>
              <w:top w:val="single" w:color="auto" w:sz="4" w:space="0"/>
              <w:left w:val="single" w:color="auto" w:sz="4" w:space="0"/>
              <w:right w:val="single" w:color="auto" w:sz="4" w:space="0"/>
            </w:tcBorders>
            <w:vAlign w:val="center"/>
          </w:tcPr>
          <w:p>
            <w:pPr>
              <w:pStyle w:val="10"/>
              <w:adjustRightInd w:val="0"/>
              <w:snapToGrid w:val="0"/>
              <w:spacing w:before="0" w:beforeAutospacing="0" w:after="0" w:afterAutospacing="0"/>
              <w:jc w:val="both"/>
              <w:rPr>
                <w:rFonts w:ascii="仿宋_GB2312" w:hAnsi="仿宋_GB2312" w:eastAsia="仿宋_GB2312" w:cs="仿宋_GB2312"/>
                <w:kern w:val="2"/>
                <w:sz w:val="21"/>
              </w:rPr>
            </w:pPr>
            <w:r>
              <w:rPr>
                <w:rFonts w:hint="eastAsia" w:ascii="仿宋_GB2312" w:hAnsi="仿宋_GB2312" w:eastAsia="仿宋_GB2312" w:cs="仿宋_GB2312"/>
                <w:kern w:val="2"/>
                <w:sz w:val="21"/>
              </w:rPr>
              <w:t>1、方案细致全面、合理，完全响应需求的，得</w:t>
            </w:r>
            <w:r>
              <w:rPr>
                <w:rFonts w:ascii="仿宋_GB2312" w:hAnsi="仿宋_GB2312" w:eastAsia="仿宋_GB2312" w:cs="仿宋_GB2312"/>
                <w:kern w:val="2"/>
                <w:sz w:val="21"/>
              </w:rPr>
              <w:t>9</w:t>
            </w:r>
            <w:r>
              <w:rPr>
                <w:rFonts w:hint="eastAsia" w:ascii="仿宋_GB2312" w:hAnsi="仿宋_GB2312" w:eastAsia="仿宋_GB2312" w:cs="仿宋_GB2312"/>
                <w:kern w:val="2"/>
                <w:sz w:val="21"/>
              </w:rPr>
              <w:t>分；</w:t>
            </w:r>
          </w:p>
          <w:p>
            <w:pPr>
              <w:pStyle w:val="10"/>
              <w:adjustRightInd w:val="0"/>
              <w:snapToGrid w:val="0"/>
              <w:spacing w:before="0" w:beforeAutospacing="0" w:after="0" w:afterAutospacing="0"/>
              <w:jc w:val="both"/>
              <w:rPr>
                <w:rFonts w:ascii="仿宋_GB2312" w:hAnsi="仿宋_GB2312" w:eastAsia="仿宋_GB2312" w:cs="仿宋_GB2312"/>
                <w:kern w:val="2"/>
                <w:sz w:val="21"/>
              </w:rPr>
            </w:pPr>
            <w:r>
              <w:rPr>
                <w:rFonts w:hint="eastAsia" w:ascii="仿宋_GB2312" w:hAnsi="仿宋_GB2312" w:eastAsia="仿宋_GB2312" w:cs="仿宋_GB2312"/>
                <w:kern w:val="2"/>
                <w:sz w:val="21"/>
              </w:rPr>
              <w:t>2、方案较为完整、合理，基本响应需求的，得</w:t>
            </w:r>
            <w:r>
              <w:rPr>
                <w:rFonts w:ascii="仿宋_GB2312" w:hAnsi="仿宋_GB2312" w:eastAsia="仿宋_GB2312" w:cs="仿宋_GB2312"/>
                <w:kern w:val="2"/>
                <w:sz w:val="21"/>
              </w:rPr>
              <w:t>6</w:t>
            </w:r>
            <w:r>
              <w:rPr>
                <w:rFonts w:hint="eastAsia" w:ascii="仿宋_GB2312" w:hAnsi="仿宋_GB2312" w:eastAsia="仿宋_GB2312" w:cs="仿宋_GB2312"/>
                <w:kern w:val="2"/>
                <w:sz w:val="21"/>
              </w:rPr>
              <w:t>分；</w:t>
            </w:r>
          </w:p>
          <w:p>
            <w:pPr>
              <w:pStyle w:val="10"/>
              <w:adjustRightInd w:val="0"/>
              <w:snapToGrid w:val="0"/>
              <w:spacing w:before="0" w:beforeAutospacing="0" w:after="0" w:afterAutospacing="0"/>
              <w:jc w:val="both"/>
              <w:rPr>
                <w:rFonts w:ascii="仿宋_GB2312" w:hAnsi="仿宋_GB2312" w:eastAsia="仿宋_GB2312" w:cs="仿宋_GB2312"/>
                <w:kern w:val="2"/>
                <w:sz w:val="21"/>
              </w:rPr>
            </w:pPr>
            <w:r>
              <w:rPr>
                <w:rFonts w:hint="eastAsia" w:ascii="仿宋_GB2312" w:hAnsi="仿宋_GB2312" w:eastAsia="仿宋_GB2312" w:cs="仿宋_GB2312"/>
                <w:kern w:val="2"/>
                <w:sz w:val="21"/>
              </w:rPr>
              <w:t>3、方案不完整、响应程度低、可行性差，得</w:t>
            </w:r>
            <w:r>
              <w:rPr>
                <w:rFonts w:ascii="仿宋_GB2312" w:hAnsi="仿宋_GB2312" w:eastAsia="仿宋_GB2312" w:cs="仿宋_GB2312"/>
                <w:kern w:val="2"/>
                <w:sz w:val="21"/>
              </w:rPr>
              <w:t>3</w:t>
            </w:r>
            <w:r>
              <w:rPr>
                <w:rFonts w:hint="eastAsia" w:ascii="仿宋_GB2312" w:hAnsi="仿宋_GB2312" w:eastAsia="仿宋_GB2312" w:cs="仿宋_GB2312"/>
                <w:kern w:val="2"/>
                <w:sz w:val="21"/>
              </w:rPr>
              <w:t>分。</w:t>
            </w:r>
          </w:p>
          <w:p>
            <w:pPr>
              <w:pStyle w:val="10"/>
              <w:adjustRightInd w:val="0"/>
              <w:snapToGrid w:val="0"/>
              <w:spacing w:before="0" w:beforeAutospacing="0" w:after="0" w:afterAutospacing="0"/>
              <w:jc w:val="both"/>
              <w:rPr>
                <w:rFonts w:ascii="仿宋_GB2312" w:hAnsi="仿宋_GB2312" w:eastAsia="仿宋_GB2312" w:cs="仿宋_GB2312"/>
                <w:kern w:val="2"/>
                <w:sz w:val="21"/>
              </w:rPr>
            </w:pPr>
            <w:r>
              <w:rPr>
                <w:rFonts w:hint="eastAsia" w:ascii="仿宋_GB2312" w:hAnsi="仿宋_GB2312" w:eastAsia="仿宋_GB2312" w:cs="仿宋_GB2312"/>
                <w:kern w:val="2"/>
                <w:sz w:val="21"/>
              </w:rPr>
              <w:t>4、未提供不得分。</w:t>
            </w:r>
          </w:p>
        </w:tc>
        <w:tc>
          <w:tcPr>
            <w:tcW w:w="946" w:type="dxa"/>
            <w:tcBorders>
              <w:top w:val="single" w:color="auto" w:sz="4" w:space="0"/>
              <w:left w:val="single" w:color="auto" w:sz="4" w:space="0"/>
              <w:right w:val="single" w:color="auto" w:sz="4" w:space="0"/>
            </w:tcBorders>
            <w:vAlign w:val="center"/>
          </w:tcPr>
          <w:p>
            <w:pPr>
              <w:pStyle w:val="10"/>
              <w:adjustRightInd w:val="0"/>
              <w:snapToGrid w:val="0"/>
              <w:spacing w:before="0" w:beforeAutospacing="0" w:after="0" w:afterAutospacing="0"/>
              <w:jc w:val="center"/>
              <w:rPr>
                <w:rFonts w:ascii="仿宋_GB2312" w:hAnsi="Times New Roman" w:eastAsia="仿宋_GB2312" w:cs="Times New Roman"/>
                <w:color w:val="000000"/>
                <w:sz w:val="21"/>
              </w:rPr>
            </w:pPr>
            <w:r>
              <w:rPr>
                <w:rFonts w:ascii="仿宋_GB2312" w:hAnsi="Times New Roman" w:eastAsia="仿宋_GB2312" w:cs="Times New Roman"/>
                <w:color w:val="000000"/>
                <w:sz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1275"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before="0" w:beforeAutospacing="0" w:after="0" w:afterAutospacing="0"/>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商务部分</w:t>
            </w:r>
          </w:p>
        </w:tc>
        <w:tc>
          <w:tcPr>
            <w:tcW w:w="1281" w:type="dxa"/>
            <w:tcBorders>
              <w:top w:val="single" w:color="auto" w:sz="4" w:space="0"/>
              <w:left w:val="single" w:color="auto" w:sz="4" w:space="0"/>
              <w:right w:val="single" w:color="auto" w:sz="4" w:space="0"/>
            </w:tcBorders>
            <w:vAlign w:val="center"/>
          </w:tcPr>
          <w:p>
            <w:pPr>
              <w:pStyle w:val="10"/>
              <w:adjustRightInd w:val="0"/>
              <w:snapToGrid w:val="0"/>
              <w:spacing w:before="0" w:after="0"/>
              <w:jc w:val="both"/>
              <w:rPr>
                <w:rFonts w:ascii="仿宋_GB2312" w:hAnsi="仿宋_GB2312" w:eastAsia="仿宋_GB2312" w:cs="仿宋_GB2312"/>
                <w:kern w:val="2"/>
                <w:sz w:val="21"/>
                <w:highlight w:val="red"/>
              </w:rPr>
            </w:pPr>
            <w:r>
              <w:rPr>
                <w:rFonts w:hint="eastAsia" w:ascii="仿宋_GB2312" w:hAnsi="仿宋_GB2312" w:eastAsia="仿宋_GB2312" w:cs="仿宋_GB2312"/>
                <w:kern w:val="2"/>
                <w:sz w:val="21"/>
              </w:rPr>
              <w:t>项目业绩</w:t>
            </w:r>
          </w:p>
        </w:tc>
        <w:tc>
          <w:tcPr>
            <w:tcW w:w="5472" w:type="dxa"/>
            <w:tcBorders>
              <w:top w:val="single" w:color="auto" w:sz="4" w:space="0"/>
              <w:left w:val="single" w:color="auto" w:sz="4" w:space="0"/>
              <w:right w:val="single" w:color="auto" w:sz="4" w:space="0"/>
            </w:tcBorders>
            <w:vAlign w:val="center"/>
          </w:tcPr>
          <w:p>
            <w:pPr>
              <w:pStyle w:val="10"/>
              <w:adjustRightInd w:val="0"/>
              <w:snapToGrid w:val="0"/>
              <w:spacing w:before="0" w:beforeAutospacing="0" w:after="0" w:afterAutospacing="0"/>
              <w:jc w:val="both"/>
              <w:rPr>
                <w:rFonts w:ascii="仿宋_GB2312" w:hAnsi="仿宋_GB2312" w:eastAsia="仿宋_GB2312" w:cs="仿宋_GB2312"/>
                <w:kern w:val="2"/>
                <w:sz w:val="21"/>
              </w:rPr>
            </w:pPr>
            <w:r>
              <w:rPr>
                <w:rFonts w:hint="eastAsia" w:ascii="仿宋_GB2312" w:hAnsi="仿宋_GB2312" w:eastAsia="仿宋_GB2312" w:cs="仿宋_GB2312"/>
                <w:kern w:val="2"/>
                <w:sz w:val="21"/>
              </w:rPr>
              <w:t>供应商近三年（2020年1月1日至今）有类似项目业绩的每有一项得2分，最多得6分。</w:t>
            </w:r>
          </w:p>
          <w:p>
            <w:pPr>
              <w:pStyle w:val="10"/>
              <w:adjustRightInd w:val="0"/>
              <w:snapToGrid w:val="0"/>
              <w:spacing w:before="0" w:beforeAutospacing="0" w:after="0" w:afterAutospacing="0"/>
              <w:jc w:val="both"/>
              <w:rPr>
                <w:rFonts w:ascii="仿宋_GB2312" w:hAnsi="仿宋_GB2312" w:eastAsia="仿宋_GB2312" w:cs="仿宋_GB2312"/>
                <w:kern w:val="2"/>
                <w:sz w:val="21"/>
              </w:rPr>
            </w:pPr>
            <w:r>
              <w:rPr>
                <w:rFonts w:hint="eastAsia" w:ascii="仿宋_GB2312" w:hAnsi="仿宋_GB2312" w:eastAsia="仿宋_GB2312" w:cs="仿宋_GB2312"/>
                <w:kern w:val="2"/>
                <w:sz w:val="21"/>
              </w:rPr>
              <w:t>（注：提供合同复印件并加盖公章，日期以合同签订日期为准。）</w:t>
            </w:r>
          </w:p>
        </w:tc>
        <w:tc>
          <w:tcPr>
            <w:tcW w:w="946" w:type="dxa"/>
            <w:tcBorders>
              <w:top w:val="single" w:color="auto" w:sz="4" w:space="0"/>
              <w:left w:val="single" w:color="auto" w:sz="4" w:space="0"/>
              <w:right w:val="single" w:color="auto" w:sz="4" w:space="0"/>
            </w:tcBorders>
            <w:vAlign w:val="center"/>
          </w:tcPr>
          <w:p>
            <w:pPr>
              <w:snapToGrid w:val="0"/>
              <w:spacing w:line="400" w:lineRule="exact"/>
              <w:jc w:val="center"/>
              <w:rPr>
                <w:rFonts w:ascii="仿宋_GB2312" w:eastAsia="仿宋_GB2312"/>
                <w:color w:val="000000"/>
                <w:kern w:val="0"/>
                <w:highlight w:val="red"/>
              </w:rPr>
            </w:pPr>
            <w:r>
              <w:rPr>
                <w:rFonts w:hint="eastAsia" w:ascii="仿宋_GB2312" w:eastAsia="仿宋_GB2312"/>
                <w:color w:val="000000"/>
                <w:kern w:val="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275"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before="0" w:beforeAutospacing="0" w:after="0" w:afterAutospacing="0"/>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合  计</w:t>
            </w:r>
          </w:p>
        </w:tc>
        <w:tc>
          <w:tcPr>
            <w:tcW w:w="1281"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before="0" w:beforeAutospacing="0" w:after="0" w:afterAutospacing="0"/>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w:t>
            </w:r>
          </w:p>
        </w:tc>
        <w:tc>
          <w:tcPr>
            <w:tcW w:w="5472"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before="0" w:beforeAutospacing="0" w:after="0" w:afterAutospacing="0"/>
              <w:jc w:val="center"/>
              <w:rPr>
                <w:rFonts w:ascii="仿宋_GB2312" w:hAnsi="仿宋_GB2312" w:eastAsia="仿宋_GB2312" w:cs="仿宋_GB2312"/>
                <w:kern w:val="2"/>
                <w:sz w:val="21"/>
                <w:szCs w:val="21"/>
              </w:rPr>
            </w:pPr>
          </w:p>
        </w:tc>
        <w:tc>
          <w:tcPr>
            <w:tcW w:w="946"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before="0" w:beforeAutospacing="0" w:after="0" w:afterAutospacing="0"/>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1</w:t>
            </w:r>
            <w:r>
              <w:rPr>
                <w:rFonts w:ascii="仿宋_GB2312" w:hAnsi="仿宋_GB2312" w:eastAsia="仿宋_GB2312" w:cs="仿宋_GB2312"/>
                <w:kern w:val="2"/>
                <w:sz w:val="21"/>
                <w:szCs w:val="21"/>
              </w:rPr>
              <w:t>00</w:t>
            </w:r>
          </w:p>
        </w:tc>
      </w:tr>
    </w:tbl>
    <w:p>
      <w:pPr>
        <w:widowControl/>
        <w:shd w:val="clear" w:color="auto" w:fill="FFFFFF"/>
        <w:spacing w:line="240" w:lineRule="exact"/>
        <w:jc w:val="left"/>
        <w:rPr>
          <w:rFonts w:hint="eastAsia" w:ascii="仿宋_GB2312" w:hAnsi="仿宋_GB2312" w:eastAsia="仿宋_GB2312" w:cs="仿宋_GB2312"/>
          <w:kern w:val="0"/>
          <w:szCs w:val="21"/>
        </w:rPr>
      </w:pPr>
    </w:p>
    <w:p>
      <w:pPr>
        <w:widowControl/>
        <w:shd w:val="clear" w:color="auto" w:fill="FFFFFF"/>
        <w:spacing w:line="240" w:lineRule="exact"/>
        <w:jc w:val="left"/>
        <w:rPr>
          <w:rFonts w:hint="eastAsia" w:ascii="仿宋_GB2312" w:hAnsi="仿宋_GB2312" w:eastAsia="仿宋_GB2312" w:cs="仿宋_GB2312"/>
          <w:kern w:val="0"/>
          <w:szCs w:val="21"/>
        </w:rPr>
      </w:pPr>
    </w:p>
    <w:p>
      <w:pPr>
        <w:widowControl/>
        <w:shd w:val="clear" w:color="auto" w:fill="FFFFFF"/>
        <w:spacing w:line="240" w:lineRule="exact"/>
        <w:jc w:val="left"/>
        <w:rPr>
          <w:rFonts w:hint="eastAsia" w:ascii="仿宋_GB2312" w:hAnsi="仿宋_GB2312" w:eastAsia="仿宋_GB2312" w:cs="仿宋_GB2312"/>
          <w:kern w:val="0"/>
          <w:szCs w:val="21"/>
        </w:rPr>
      </w:pPr>
    </w:p>
    <w:p>
      <w:pPr>
        <w:widowControl/>
        <w:shd w:val="clear" w:color="auto" w:fill="FFFFFF"/>
        <w:spacing w:line="240" w:lineRule="exact"/>
        <w:jc w:val="left"/>
        <w:rPr>
          <w:rFonts w:ascii="仿宋_GB2312" w:hAnsi="仿宋_GB2312" w:eastAsia="仿宋_GB2312" w:cs="仿宋_GB2312"/>
          <w:kern w:val="0"/>
          <w:szCs w:val="21"/>
        </w:rPr>
      </w:pPr>
    </w:p>
    <w:p>
      <w:pPr>
        <w:numPr>
          <w:ilvl w:val="0"/>
          <w:numId w:val="6"/>
        </w:numPr>
        <w:rPr>
          <w:rFonts w:ascii="仿宋_GB2312" w:hAnsi="仿宋_GB2312" w:eastAsia="仿宋_GB2312" w:cs="仿宋_GB2312"/>
          <w:b/>
          <w:szCs w:val="21"/>
        </w:rPr>
      </w:pPr>
      <w:r>
        <w:rPr>
          <w:rFonts w:hint="eastAsia" w:ascii="仿宋_GB2312" w:hAnsi="仿宋_GB2312" w:eastAsia="仿宋_GB2312" w:cs="仿宋_GB2312"/>
          <w:b/>
          <w:szCs w:val="21"/>
        </w:rPr>
        <w:t>加分项评分标准</w:t>
      </w:r>
    </w:p>
    <w:tbl>
      <w:tblPr>
        <w:tblStyle w:val="12"/>
        <w:tblW w:w="89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8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4" w:hRule="atLeast"/>
          <w:jc w:val="center"/>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加分</w:t>
            </w:r>
          </w:p>
          <w:p>
            <w:pPr>
              <w:jc w:val="center"/>
              <w:rPr>
                <w:rFonts w:ascii="仿宋_GB2312" w:hAnsi="仿宋_GB2312" w:eastAsia="仿宋_GB2312" w:cs="仿宋_GB2312"/>
                <w:szCs w:val="21"/>
              </w:rPr>
            </w:pPr>
            <w:r>
              <w:rPr>
                <w:rFonts w:hint="eastAsia" w:ascii="仿宋_GB2312" w:hAnsi="仿宋_GB2312" w:eastAsia="仿宋_GB2312" w:cs="仿宋_GB2312"/>
                <w:szCs w:val="21"/>
              </w:rPr>
              <w:t>因素</w:t>
            </w:r>
          </w:p>
        </w:tc>
        <w:tc>
          <w:tcPr>
            <w:tcW w:w="80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加分说明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4" w:hRule="atLeast"/>
          <w:jc w:val="center"/>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节能</w:t>
            </w:r>
          </w:p>
          <w:p>
            <w:pPr>
              <w:jc w:val="center"/>
              <w:rPr>
                <w:rFonts w:ascii="仿宋_GB2312" w:hAnsi="仿宋_GB2312" w:eastAsia="仿宋_GB2312" w:cs="仿宋_GB2312"/>
                <w:szCs w:val="21"/>
              </w:rPr>
            </w:pPr>
            <w:r>
              <w:rPr>
                <w:rFonts w:hint="eastAsia" w:ascii="仿宋_GB2312" w:hAnsi="仿宋_GB2312" w:eastAsia="仿宋_GB2312" w:cs="仿宋_GB2312"/>
                <w:szCs w:val="21"/>
              </w:rPr>
              <w:t>产品</w:t>
            </w:r>
          </w:p>
        </w:tc>
        <w:tc>
          <w:tcPr>
            <w:tcW w:w="8089"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对于清单中的投标产品价格给予价格部分总分值</w:t>
            </w:r>
            <w:r>
              <w:rPr>
                <w:rFonts w:hint="eastAsia" w:ascii="仿宋_GB2312" w:hAnsi="仿宋_GB2312" w:eastAsia="仿宋_GB2312" w:cs="仿宋_GB2312"/>
                <w:kern w:val="0"/>
                <w:szCs w:val="21"/>
                <w:u w:val="single"/>
              </w:rPr>
              <w:t xml:space="preserve"> </w:t>
            </w:r>
            <w:r>
              <w:rPr>
                <w:rFonts w:ascii="仿宋" w:hAnsi="仿宋" w:cs="仿宋"/>
                <w:kern w:val="0"/>
                <w:szCs w:val="21"/>
                <w:u w:val="single"/>
              </w:rPr>
              <w:t>/</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的加分，计算公式如下：</w:t>
            </w:r>
          </w:p>
          <w:p>
            <w:pPr>
              <w:rPr>
                <w:rFonts w:ascii="仿宋_GB2312" w:hAnsi="仿宋_GB2312" w:eastAsia="仿宋_GB2312" w:cs="仿宋_GB2312"/>
                <w:szCs w:val="21"/>
              </w:rPr>
            </w:pPr>
            <w:r>
              <w:rPr>
                <w:rFonts w:hint="eastAsia" w:ascii="仿宋_GB2312" w:hAnsi="仿宋_GB2312" w:eastAsia="仿宋_GB2312" w:cs="仿宋_GB2312"/>
                <w:szCs w:val="21"/>
              </w:rPr>
              <w:t>节能产品加分＝（节能产品投标报价之和/投标总价）×价格部分总分值</w:t>
            </w:r>
            <w:r>
              <w:rPr>
                <w:rFonts w:hint="eastAsia" w:ascii="仿宋_GB2312" w:hAnsi="仿宋_GB2312" w:eastAsia="仿宋_GB2312" w:cs="仿宋_GB2312"/>
                <w:szCs w:val="21"/>
                <w:u w:val="single"/>
              </w:rPr>
              <w:t xml:space="preserve"> </w:t>
            </w:r>
            <w:r>
              <w:rPr>
                <w:rFonts w:ascii="仿宋" w:hAnsi="仿宋" w:cs="仿宋"/>
                <w:kern w:val="0"/>
                <w:szCs w:val="21"/>
                <w:u w:val="single"/>
              </w:rPr>
              <w:t>/</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w:t>
            </w:r>
            <w:r>
              <w:rPr>
                <w:rFonts w:hint="eastAsia" w:ascii="仿宋_GB2312" w:hAnsi="仿宋_GB2312" w:eastAsia="仿宋_GB2312" w:cs="仿宋_GB2312"/>
                <w:szCs w:val="21"/>
                <w:u w:val="single"/>
              </w:rPr>
              <w:t xml:space="preserve"> </w:t>
            </w:r>
            <w:r>
              <w:rPr>
                <w:rFonts w:ascii="仿宋" w:hAnsi="仿宋" w:cs="仿宋"/>
                <w:kern w:val="0"/>
                <w:szCs w:val="21"/>
                <w:u w:val="single"/>
              </w:rPr>
              <w:t>/</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4" w:hRule="atLeast"/>
          <w:jc w:val="center"/>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环保</w:t>
            </w:r>
          </w:p>
          <w:p>
            <w:pPr>
              <w:jc w:val="center"/>
              <w:rPr>
                <w:rFonts w:ascii="仿宋_GB2312" w:hAnsi="仿宋_GB2312" w:eastAsia="仿宋_GB2312" w:cs="仿宋_GB2312"/>
                <w:szCs w:val="21"/>
              </w:rPr>
            </w:pPr>
            <w:r>
              <w:rPr>
                <w:rFonts w:hint="eastAsia" w:ascii="仿宋_GB2312" w:hAnsi="仿宋_GB2312" w:eastAsia="仿宋_GB2312" w:cs="仿宋_GB2312"/>
                <w:szCs w:val="21"/>
              </w:rPr>
              <w:t>产品</w:t>
            </w:r>
          </w:p>
        </w:tc>
        <w:tc>
          <w:tcPr>
            <w:tcW w:w="8089"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对于清单中的投标产品价格给予价格部分总分值</w:t>
            </w:r>
            <w:r>
              <w:rPr>
                <w:rFonts w:hint="eastAsia" w:ascii="仿宋_GB2312" w:hAnsi="仿宋_GB2312" w:eastAsia="仿宋_GB2312" w:cs="仿宋_GB2312"/>
                <w:szCs w:val="21"/>
                <w:u w:val="single"/>
              </w:rPr>
              <w:t xml:space="preserve"> </w:t>
            </w:r>
            <w:r>
              <w:rPr>
                <w:rFonts w:ascii="仿宋" w:hAnsi="仿宋" w:cs="仿宋"/>
                <w:kern w:val="0"/>
                <w:szCs w:val="21"/>
                <w:u w:val="single"/>
              </w:rPr>
              <w:t>/</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%的加分，计算公式如下：</w:t>
            </w:r>
          </w:p>
          <w:p>
            <w:pPr>
              <w:rPr>
                <w:rFonts w:ascii="仿宋_GB2312" w:hAnsi="仿宋_GB2312" w:eastAsia="仿宋_GB2312" w:cs="仿宋_GB2312"/>
                <w:szCs w:val="21"/>
              </w:rPr>
            </w:pPr>
            <w:r>
              <w:rPr>
                <w:rFonts w:hint="eastAsia" w:ascii="仿宋_GB2312" w:hAnsi="仿宋_GB2312" w:eastAsia="仿宋_GB2312" w:cs="仿宋_GB2312"/>
                <w:szCs w:val="21"/>
              </w:rPr>
              <w:t>环保产品加分＝（环保产品投标报价之和/投标总价）×价格部分总分值</w:t>
            </w:r>
            <w:r>
              <w:rPr>
                <w:rFonts w:hint="eastAsia" w:ascii="仿宋_GB2312" w:hAnsi="仿宋_GB2312" w:eastAsia="仿宋_GB2312" w:cs="仿宋_GB2312"/>
                <w:szCs w:val="21"/>
                <w:u w:val="single"/>
              </w:rPr>
              <w:t xml:space="preserve"> </w:t>
            </w:r>
            <w:r>
              <w:rPr>
                <w:rFonts w:ascii="仿宋" w:hAnsi="仿宋" w:cs="仿宋"/>
                <w:kern w:val="0"/>
                <w:szCs w:val="21"/>
                <w:u w:val="single"/>
              </w:rPr>
              <w:t>/</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w:t>
            </w:r>
            <w:r>
              <w:rPr>
                <w:rFonts w:hint="eastAsia" w:ascii="仿宋_GB2312" w:hAnsi="仿宋_GB2312" w:eastAsia="仿宋_GB2312" w:cs="仿宋_GB2312"/>
                <w:szCs w:val="21"/>
                <w:u w:val="single"/>
              </w:rPr>
              <w:t xml:space="preserve"> </w:t>
            </w:r>
            <w:r>
              <w:rPr>
                <w:rFonts w:ascii="仿宋" w:hAnsi="仿宋" w:cs="仿宋"/>
                <w:kern w:val="0"/>
                <w:szCs w:val="21"/>
                <w:u w:val="single"/>
              </w:rPr>
              <w:t>/</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w:t>
            </w:r>
          </w:p>
        </w:tc>
      </w:tr>
    </w:tbl>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br w:type="page"/>
      </w:r>
    </w:p>
    <w:p>
      <w:pPr>
        <w:rPr>
          <w:rFonts w:ascii="仿宋_GB2312" w:hAnsi="仿宋_GB2312" w:eastAsia="仿宋_GB2312" w:cs="仿宋_GB2312"/>
        </w:rPr>
      </w:pPr>
      <w:bookmarkStart w:id="184" w:name="_Toc25922_WPSOffice_Level1"/>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pStyle w:val="2"/>
        <w:snapToGrid w:val="0"/>
        <w:spacing w:before="319" w:beforeLines="100" w:after="319" w:afterLines="100" w:line="360" w:lineRule="auto"/>
        <w:rPr>
          <w:rFonts w:ascii="仿宋_GB2312" w:hAnsi="仿宋_GB2312" w:eastAsia="仿宋_GB2312" w:cs="仿宋_GB2312"/>
        </w:rPr>
      </w:pPr>
      <w:bookmarkStart w:id="185" w:name="_Toc24606"/>
      <w:bookmarkStart w:id="186" w:name="_Toc22690"/>
      <w:r>
        <w:rPr>
          <w:rFonts w:hint="eastAsia" w:ascii="仿宋_GB2312" w:hAnsi="仿宋_GB2312" w:eastAsia="仿宋_GB2312" w:cs="仿宋_GB2312"/>
        </w:rPr>
        <w:t>第五章 政府采购合同条款</w:t>
      </w:r>
      <w:bookmarkEnd w:id="184"/>
      <w:r>
        <w:rPr>
          <w:rFonts w:hint="eastAsia" w:ascii="仿宋_GB2312" w:hAnsi="仿宋_GB2312" w:eastAsia="仿宋_GB2312" w:cs="仿宋_GB2312"/>
        </w:rPr>
        <w:t>及格式</w:t>
      </w:r>
      <w:bookmarkEnd w:id="185"/>
      <w:bookmarkEnd w:id="186"/>
    </w:p>
    <w:p>
      <w:pPr>
        <w:rPr>
          <w:rFonts w:ascii="仿宋_GB2312" w:hAnsi="仿宋_GB2312" w:eastAsia="仿宋_GB2312" w:cs="仿宋_GB2312"/>
        </w:rPr>
      </w:pPr>
      <w:r>
        <w:rPr>
          <w:rFonts w:hint="eastAsia" w:ascii="仿宋_GB2312" w:hAnsi="仿宋_GB2312" w:eastAsia="仿宋_GB2312" w:cs="仿宋_GB2312"/>
        </w:rPr>
        <w:br w:type="page"/>
      </w:r>
    </w:p>
    <w:p>
      <w:pPr>
        <w:pStyle w:val="3"/>
        <w:adjustRightInd w:val="0"/>
        <w:snapToGrid w:val="0"/>
        <w:spacing w:line="240" w:lineRule="auto"/>
        <w:jc w:val="left"/>
        <w:rPr>
          <w:rFonts w:ascii="仿宋_GB2312" w:hAnsi="仿宋_GB2312" w:eastAsia="仿宋_GB2312" w:cs="仿宋_GB2312"/>
          <w:szCs w:val="28"/>
        </w:rPr>
      </w:pPr>
      <w:bookmarkStart w:id="187" w:name="_Toc23704_WPSOffice_Level1"/>
      <w:r>
        <w:rPr>
          <w:rFonts w:hint="eastAsia" w:ascii="仿宋_GB2312" w:hAnsi="仿宋_GB2312" w:eastAsia="仿宋_GB2312" w:cs="仿宋_GB2312"/>
          <w:szCs w:val="28"/>
        </w:rPr>
        <w:t>合同条款</w:t>
      </w:r>
      <w:bookmarkEnd w:id="187"/>
    </w:p>
    <w:p>
      <w:pPr>
        <w:spacing w:before="319" w:beforeLines="100" w:after="319" w:afterLines="100" w:line="360" w:lineRule="auto"/>
        <w:jc w:val="center"/>
        <w:rPr>
          <w:rFonts w:ascii="宋体" w:hAnsi="宋体" w:cs="Lucida Sans Unicode"/>
          <w:b/>
          <w:sz w:val="44"/>
          <w:szCs w:val="44"/>
        </w:rPr>
      </w:pPr>
      <w:r>
        <w:rPr>
          <w:rFonts w:hint="eastAsia" w:ascii="宋体" w:hAnsi="宋体" w:cs="Lucida Sans Unicode"/>
          <w:b/>
          <w:sz w:val="44"/>
          <w:szCs w:val="44"/>
        </w:rPr>
        <w:t>政府采购合同条款</w:t>
      </w:r>
    </w:p>
    <w:p>
      <w:pPr>
        <w:numPr>
          <w:ilvl w:val="0"/>
          <w:numId w:val="7"/>
        </w:numPr>
        <w:spacing w:line="360" w:lineRule="auto"/>
        <w:rPr>
          <w:rFonts w:ascii="仿宋_GB2312" w:hAnsi="宋体" w:eastAsia="仿宋_GB2312"/>
          <w:b/>
          <w:szCs w:val="21"/>
        </w:rPr>
      </w:pPr>
      <w:r>
        <w:rPr>
          <w:rFonts w:hint="eastAsia" w:ascii="仿宋_GB2312" w:hAnsi="宋体" w:eastAsia="仿宋_GB2312"/>
          <w:b/>
          <w:szCs w:val="21"/>
        </w:rPr>
        <w:t>术语定义</w:t>
      </w:r>
    </w:p>
    <w:p>
      <w:pPr>
        <w:spacing w:line="360" w:lineRule="auto"/>
        <w:ind w:firstLine="411" w:firstLineChars="196"/>
        <w:rPr>
          <w:rFonts w:ascii="仿宋_GB2312" w:hAnsi="宋体" w:eastAsia="仿宋_GB2312"/>
          <w:szCs w:val="21"/>
        </w:rPr>
      </w:pPr>
      <w:r>
        <w:rPr>
          <w:rFonts w:hint="eastAsia" w:ascii="仿宋_GB2312" w:hAnsi="宋体" w:eastAsia="仿宋_GB2312"/>
          <w:szCs w:val="21"/>
        </w:rPr>
        <w:t>本政府采购合同下列术语应解释为：</w:t>
      </w:r>
    </w:p>
    <w:p>
      <w:pPr>
        <w:spacing w:line="360" w:lineRule="auto"/>
        <w:ind w:firstLine="42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1</w:t>
      </w:r>
      <w:r>
        <w:rPr>
          <w:rFonts w:hint="eastAsia" w:ascii="仿宋_GB2312" w:hAnsi="宋体" w:eastAsia="仿宋_GB2312"/>
          <w:szCs w:val="21"/>
        </w:rPr>
        <w:t>“政府采购合同”指供需双方依照政府采购程序、按照招标文件、投标文件确定的事项所达成的协议，包括附件、附录和上述文件所提到的构成政府采购合同的所有文件。</w:t>
      </w:r>
    </w:p>
    <w:p>
      <w:pPr>
        <w:spacing w:line="360" w:lineRule="auto"/>
        <w:ind w:firstLine="42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 xml:space="preserve">2 </w:t>
      </w:r>
      <w:r>
        <w:rPr>
          <w:rFonts w:hint="eastAsia" w:ascii="仿宋_GB2312" w:hAnsi="宋体" w:eastAsia="仿宋_GB2312"/>
          <w:szCs w:val="21"/>
        </w:rPr>
        <w:t>“政府采购合同价”指根据合同约定供方在正确地完全履行政府采购合同义务后需方应支付给供方的价格。</w:t>
      </w:r>
    </w:p>
    <w:p>
      <w:pPr>
        <w:spacing w:line="360" w:lineRule="auto"/>
        <w:ind w:firstLine="42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 xml:space="preserve">3 </w:t>
      </w:r>
      <w:r>
        <w:rPr>
          <w:rFonts w:hint="eastAsia" w:ascii="仿宋_GB2312" w:hAnsi="宋体" w:eastAsia="仿宋_GB2312"/>
          <w:szCs w:val="21"/>
        </w:rPr>
        <w:t>“服务”指政府采购合同服务清单（同投标文件中开标一览表及其附表，下同）所约定的服务内容。</w:t>
      </w:r>
    </w:p>
    <w:p>
      <w:pPr>
        <w:spacing w:line="360" w:lineRule="auto"/>
        <w:ind w:firstLine="42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 xml:space="preserve">5 </w:t>
      </w:r>
      <w:r>
        <w:rPr>
          <w:rFonts w:hint="eastAsia" w:ascii="仿宋_GB2312" w:hAnsi="宋体" w:eastAsia="仿宋_GB2312"/>
          <w:szCs w:val="21"/>
        </w:rPr>
        <w:t>“需方”指项目基本内容及要求中所述取得产品和服务的采购单位。</w:t>
      </w:r>
    </w:p>
    <w:p>
      <w:pPr>
        <w:spacing w:line="360" w:lineRule="auto"/>
        <w:ind w:firstLine="42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 xml:space="preserve">6 </w:t>
      </w:r>
      <w:r>
        <w:rPr>
          <w:rFonts w:hint="eastAsia" w:ascii="仿宋_GB2312" w:hAnsi="宋体" w:eastAsia="仿宋_GB2312"/>
          <w:szCs w:val="21"/>
        </w:rPr>
        <w:t>“供方”指项目基本内容及要求中所述提供产品和服务的中标供应商。</w:t>
      </w:r>
    </w:p>
    <w:p>
      <w:pPr>
        <w:spacing w:line="360" w:lineRule="auto"/>
        <w:ind w:firstLine="42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 xml:space="preserve">7 </w:t>
      </w:r>
      <w:r>
        <w:rPr>
          <w:rFonts w:hint="eastAsia" w:ascii="仿宋_GB2312" w:hAnsi="宋体" w:eastAsia="仿宋_GB2312"/>
          <w:szCs w:val="21"/>
        </w:rPr>
        <w:t>“检验”指需方按照政府采购合同约定的标准对供方所提供服务进行的检测和查验。</w:t>
      </w:r>
    </w:p>
    <w:p>
      <w:pPr>
        <w:spacing w:line="360" w:lineRule="auto"/>
        <w:ind w:firstLine="42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 xml:space="preserve">8 </w:t>
      </w:r>
      <w:r>
        <w:rPr>
          <w:rFonts w:hint="eastAsia" w:ascii="仿宋_GB2312" w:hAnsi="宋体" w:eastAsia="仿宋_GB2312"/>
          <w:szCs w:val="21"/>
        </w:rPr>
        <w:t>“验收书”指采购单位或</w:t>
      </w:r>
      <w:r>
        <w:rPr>
          <w:rFonts w:hint="eastAsia" w:ascii="仿宋_GB2312" w:hAnsi="宋体" w:eastAsia="仿宋_GB2312" w:cs="Lucida Sans Unicode"/>
          <w:szCs w:val="21"/>
        </w:rPr>
        <w:t>采购代理机构</w:t>
      </w:r>
      <w:r>
        <w:rPr>
          <w:rFonts w:hint="eastAsia" w:ascii="仿宋_GB2312" w:hAnsi="宋体" w:eastAsia="仿宋_GB2312"/>
          <w:szCs w:val="21"/>
        </w:rPr>
        <w:t>根据合同履约验收意见书形成反映采购单位和组织验收机构意见的文件。</w:t>
      </w:r>
    </w:p>
    <w:p>
      <w:pPr>
        <w:spacing w:line="360" w:lineRule="auto"/>
        <w:ind w:firstLine="420" w:firstLineChars="200"/>
        <w:rPr>
          <w:rFonts w:ascii="仿宋_GB2312" w:hAnsi="宋体" w:eastAsia="仿宋_GB2312"/>
          <w:szCs w:val="21"/>
        </w:rPr>
      </w:pPr>
      <w:r>
        <w:rPr>
          <w:rFonts w:hint="eastAsia" w:ascii="仿宋_GB2312" w:hAnsi="宋体" w:eastAsia="仿宋_GB2312"/>
          <w:szCs w:val="21"/>
        </w:rPr>
        <w:t>1.9“天”指日历天数（如无特别说明）。</w:t>
      </w:r>
    </w:p>
    <w:p>
      <w:pPr>
        <w:spacing w:line="360" w:lineRule="auto"/>
        <w:ind w:firstLine="42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10</w:t>
      </w:r>
      <w:r>
        <w:rPr>
          <w:rFonts w:hint="eastAsia" w:ascii="仿宋_GB2312" w:hAnsi="宋体" w:eastAsia="仿宋_GB2312"/>
          <w:szCs w:val="21"/>
        </w:rPr>
        <w:t>“第三人”是指本政府采购合同双方以外的任何中国境内外的自然人、法人或其它经济组织。</w:t>
      </w:r>
    </w:p>
    <w:p>
      <w:pPr>
        <w:spacing w:line="360" w:lineRule="auto"/>
        <w:ind w:firstLine="42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11</w:t>
      </w:r>
      <w:r>
        <w:rPr>
          <w:rFonts w:hint="eastAsia" w:ascii="仿宋_GB2312" w:hAnsi="宋体" w:eastAsia="仿宋_GB2312"/>
          <w:szCs w:val="21"/>
        </w:rPr>
        <w:t>“法律、法规”是指由中国各级政府及有关部门制定的法律、行政法规、地方性法规、规章及其它规范性文件的有关规定。</w:t>
      </w:r>
    </w:p>
    <w:p>
      <w:pPr>
        <w:spacing w:line="360" w:lineRule="auto"/>
        <w:ind w:firstLine="42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12</w:t>
      </w:r>
      <w:r>
        <w:rPr>
          <w:rFonts w:hint="eastAsia" w:ascii="仿宋_GB2312" w:hAnsi="宋体" w:eastAsia="仿宋_GB2312"/>
          <w:szCs w:val="21"/>
        </w:rPr>
        <w:t>“招标文件”指采购人或</w:t>
      </w:r>
      <w:r>
        <w:rPr>
          <w:rFonts w:hint="eastAsia" w:ascii="仿宋_GB2312" w:hAnsi="宋体" w:eastAsia="仿宋_GB2312" w:cs="Lucida Sans Unicode"/>
          <w:szCs w:val="21"/>
        </w:rPr>
        <w:t>采购代理机构</w:t>
      </w:r>
      <w:r>
        <w:rPr>
          <w:rFonts w:hint="eastAsia" w:ascii="仿宋_GB2312" w:hAnsi="宋体" w:eastAsia="仿宋_GB2312"/>
          <w:szCs w:val="21"/>
        </w:rPr>
        <w:t>发布的招标文件。</w:t>
      </w:r>
    </w:p>
    <w:p>
      <w:pPr>
        <w:spacing w:line="360" w:lineRule="auto"/>
        <w:ind w:firstLine="42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13</w:t>
      </w:r>
      <w:r>
        <w:rPr>
          <w:rFonts w:hint="eastAsia" w:ascii="仿宋_GB2312" w:hAnsi="宋体" w:eastAsia="仿宋_GB2312"/>
          <w:szCs w:val="21"/>
        </w:rPr>
        <w:t>“投标文件”指供方按照</w:t>
      </w:r>
      <w:r>
        <w:rPr>
          <w:rFonts w:hint="eastAsia" w:ascii="仿宋_GB2312" w:hAnsi="宋体" w:eastAsia="仿宋_GB2312" w:cs="Lucida Sans Unicode"/>
          <w:szCs w:val="21"/>
        </w:rPr>
        <w:t>采购代理机构</w:t>
      </w:r>
      <w:r>
        <w:rPr>
          <w:rFonts w:hint="eastAsia" w:ascii="仿宋_GB2312" w:hAnsi="宋体" w:eastAsia="仿宋_GB2312"/>
          <w:szCs w:val="21"/>
        </w:rPr>
        <w:t>招标文件的要求编制和递交，并最终被评标委员会接受的投标文件。</w:t>
      </w:r>
    </w:p>
    <w:p>
      <w:pPr>
        <w:spacing w:line="360" w:lineRule="auto"/>
        <w:ind w:firstLine="417" w:firstLineChars="199"/>
        <w:rPr>
          <w:rFonts w:ascii="仿宋_GB2312" w:hAnsi="宋体" w:eastAsia="仿宋_GB2312"/>
          <w:b/>
          <w:szCs w:val="21"/>
        </w:rPr>
      </w:pPr>
      <w:r>
        <w:rPr>
          <w:rFonts w:hint="eastAsia" w:ascii="仿宋_GB2312" w:hAnsi="宋体" w:eastAsia="仿宋_GB2312"/>
          <w:b/>
          <w:szCs w:val="21"/>
        </w:rPr>
        <w:t>2.技术规范与服务内容</w:t>
      </w:r>
    </w:p>
    <w:p>
      <w:pPr>
        <w:spacing w:line="360" w:lineRule="auto"/>
        <w:ind w:firstLine="417" w:firstLineChars="199"/>
        <w:rPr>
          <w:rFonts w:ascii="仿宋_GB2312" w:hAnsi="宋体" w:eastAsia="仿宋_GB2312"/>
          <w:szCs w:val="21"/>
        </w:rPr>
      </w:pPr>
      <w:r>
        <w:rPr>
          <w:rFonts w:hint="eastAsia" w:ascii="仿宋_GB2312" w:hAnsi="宋体" w:eastAsia="仿宋_GB2312"/>
          <w:szCs w:val="21"/>
        </w:rPr>
        <w:t>2.1投标服务的技术规范应与招标文件规定的技术规范（如果有的话）相一致。若无相应说明，则以国家有关部门最新颁布的相应标准及规范为准。</w:t>
      </w:r>
    </w:p>
    <w:p>
      <w:pPr>
        <w:spacing w:line="360" w:lineRule="auto"/>
        <w:ind w:firstLine="417" w:firstLineChars="199"/>
        <w:rPr>
          <w:rFonts w:ascii="仿宋_GB2312" w:hAnsi="宋体" w:eastAsia="仿宋_GB2312"/>
          <w:szCs w:val="21"/>
        </w:rPr>
      </w:pPr>
      <w:r>
        <w:rPr>
          <w:rFonts w:hint="eastAsia" w:ascii="仿宋_GB2312" w:hAnsi="宋体" w:eastAsia="仿宋_GB2312"/>
          <w:szCs w:val="21"/>
        </w:rPr>
        <w:t>2.2 投标服务的服务内容应与招标文件规定服务内容及投标文件中的项目要求及投标响应表一致。</w:t>
      </w:r>
    </w:p>
    <w:p>
      <w:pPr>
        <w:spacing w:line="360" w:lineRule="auto"/>
        <w:ind w:firstLine="417" w:firstLineChars="199"/>
        <w:rPr>
          <w:rFonts w:ascii="仿宋_GB2312" w:hAnsi="宋体" w:eastAsia="仿宋_GB2312"/>
          <w:b/>
          <w:szCs w:val="21"/>
        </w:rPr>
      </w:pPr>
      <w:r>
        <w:rPr>
          <w:rFonts w:hint="eastAsia" w:ascii="仿宋_GB2312" w:hAnsi="宋体" w:eastAsia="仿宋_GB2312"/>
          <w:b/>
          <w:szCs w:val="21"/>
        </w:rPr>
        <w:t>3.知识产权</w:t>
      </w:r>
    </w:p>
    <w:p>
      <w:pPr>
        <w:spacing w:line="360" w:lineRule="auto"/>
        <w:ind w:firstLine="411" w:firstLineChars="196"/>
        <w:jc w:val="left"/>
        <w:rPr>
          <w:rFonts w:ascii="仿宋_GB2312" w:hAnsi="宋体" w:eastAsia="仿宋_GB2312"/>
          <w:szCs w:val="21"/>
        </w:rPr>
      </w:pPr>
      <w:r>
        <w:rPr>
          <w:rFonts w:hint="eastAsia" w:ascii="仿宋_GB2312" w:hAnsi="宋体" w:eastAsia="仿宋_GB2312"/>
          <w:szCs w:val="21"/>
        </w:rPr>
        <w:t>3.1供方应保证需方在使用本政府采购合同项下的服务或其任何一部分时免受第三方提出侵犯其知识产权、商标权或工业设计权的起诉。如果发生此类问题，供方负责交涉、处理并承担由此引起的全部法律及经济责任。</w:t>
      </w:r>
    </w:p>
    <w:p>
      <w:pPr>
        <w:spacing w:line="360" w:lineRule="auto"/>
        <w:ind w:firstLine="411" w:firstLineChars="196"/>
        <w:jc w:val="left"/>
        <w:rPr>
          <w:rFonts w:ascii="仿宋_GB2312" w:hAnsi="宋体" w:eastAsia="仿宋_GB2312"/>
          <w:szCs w:val="21"/>
        </w:rPr>
      </w:pPr>
      <w:r>
        <w:rPr>
          <w:rFonts w:hint="eastAsia" w:ascii="仿宋_GB2312" w:hAnsi="宋体" w:eastAsia="仿宋_GB2312"/>
          <w:szCs w:val="21"/>
        </w:rPr>
        <w:t>3.2供方应保证所供服务符合国家的有关规定。</w:t>
      </w:r>
    </w:p>
    <w:p>
      <w:pPr>
        <w:tabs>
          <w:tab w:val="left" w:pos="360"/>
        </w:tabs>
        <w:spacing w:line="360" w:lineRule="auto"/>
        <w:ind w:firstLine="417" w:firstLineChars="199"/>
        <w:rPr>
          <w:rFonts w:ascii="仿宋_GB2312" w:hAnsi="宋体" w:eastAsia="仿宋_GB2312"/>
          <w:szCs w:val="21"/>
        </w:rPr>
      </w:pPr>
      <w:r>
        <w:rPr>
          <w:rFonts w:hint="eastAsia" w:ascii="仿宋_GB2312" w:hAnsi="宋体" w:eastAsia="仿宋_GB2312"/>
          <w:szCs w:val="21"/>
        </w:rPr>
        <w:t>3.3供方保证，供方依据本政府采购合同提供的服务及相关的软件和技术资料，供方均已得到有关知识产权的权利人的合法授权，如发生涉及到专利权、著作权、商标权等争议，供方负责交涉、处理，并承担由此引起的全部法律及经济责任。</w:t>
      </w:r>
    </w:p>
    <w:p>
      <w:pPr>
        <w:spacing w:line="360" w:lineRule="auto"/>
        <w:ind w:firstLine="417" w:firstLineChars="199"/>
        <w:rPr>
          <w:rFonts w:ascii="仿宋_GB2312" w:hAnsi="宋体" w:eastAsia="仿宋_GB2312"/>
          <w:b/>
          <w:szCs w:val="21"/>
        </w:rPr>
      </w:pPr>
      <w:r>
        <w:rPr>
          <w:rFonts w:hint="eastAsia" w:ascii="仿宋_GB2312" w:hAnsi="宋体" w:eastAsia="仿宋_GB2312"/>
          <w:b/>
          <w:szCs w:val="21"/>
        </w:rPr>
        <w:t>4.完成方式</w:t>
      </w:r>
    </w:p>
    <w:p>
      <w:pPr>
        <w:spacing w:line="360" w:lineRule="auto"/>
        <w:ind w:firstLine="417" w:firstLineChars="199"/>
        <w:rPr>
          <w:rFonts w:ascii="仿宋_GB2312" w:hAnsi="宋体" w:eastAsia="仿宋_GB2312"/>
          <w:szCs w:val="21"/>
        </w:rPr>
      </w:pPr>
      <w:r>
        <w:rPr>
          <w:rFonts w:hint="eastAsia" w:ascii="仿宋_GB2312" w:hAnsi="宋体" w:eastAsia="仿宋_GB2312"/>
          <w:szCs w:val="21"/>
        </w:rPr>
        <w:t>供方按照合同约定的时间、地点完成服务。</w:t>
      </w:r>
    </w:p>
    <w:p>
      <w:pPr>
        <w:spacing w:line="360" w:lineRule="auto"/>
        <w:ind w:firstLine="417" w:firstLineChars="199"/>
        <w:rPr>
          <w:rFonts w:ascii="仿宋_GB2312" w:hAnsi="宋体" w:eastAsia="仿宋_GB2312"/>
          <w:b/>
          <w:szCs w:val="21"/>
        </w:rPr>
      </w:pPr>
      <w:r>
        <w:rPr>
          <w:rFonts w:hint="eastAsia" w:ascii="仿宋_GB2312" w:hAnsi="宋体" w:eastAsia="仿宋_GB2312"/>
          <w:b/>
          <w:szCs w:val="21"/>
        </w:rPr>
        <w:t>5.付款</w:t>
      </w:r>
    </w:p>
    <w:p>
      <w:pPr>
        <w:spacing w:line="360" w:lineRule="auto"/>
        <w:ind w:firstLine="417" w:firstLineChars="199"/>
        <w:rPr>
          <w:rFonts w:ascii="仿宋_GB2312" w:hAnsi="宋体" w:eastAsia="仿宋_GB2312"/>
          <w:szCs w:val="21"/>
        </w:rPr>
      </w:pPr>
      <w:r>
        <w:rPr>
          <w:rFonts w:hint="eastAsia" w:ascii="仿宋_GB2312" w:hAnsi="宋体" w:eastAsia="仿宋_GB2312"/>
          <w:szCs w:val="21"/>
        </w:rPr>
        <w:t>5.1政府采购合同以人民币付款。</w:t>
      </w:r>
    </w:p>
    <w:p>
      <w:pPr>
        <w:spacing w:line="360" w:lineRule="auto"/>
        <w:ind w:firstLine="417" w:firstLineChars="199"/>
        <w:rPr>
          <w:rFonts w:ascii="仿宋_GB2312" w:hAnsi="宋体" w:eastAsia="仿宋_GB2312"/>
          <w:szCs w:val="21"/>
        </w:rPr>
      </w:pPr>
      <w:r>
        <w:rPr>
          <w:rFonts w:hint="eastAsia" w:ascii="仿宋_GB2312" w:hAnsi="宋体" w:eastAsia="仿宋_GB2312"/>
          <w:szCs w:val="21"/>
        </w:rPr>
        <w:t>5.2在供方按照政府采购合同的规定履行服务后，需方按照合同约定的方式和条件付款。</w:t>
      </w:r>
    </w:p>
    <w:p>
      <w:pPr>
        <w:spacing w:line="360" w:lineRule="auto"/>
        <w:ind w:firstLine="420" w:firstLineChars="200"/>
        <w:rPr>
          <w:rFonts w:ascii="仿宋_GB2312" w:hAnsi="宋体" w:eastAsia="仿宋_GB2312"/>
          <w:b/>
          <w:szCs w:val="21"/>
        </w:rPr>
      </w:pPr>
      <w:r>
        <w:rPr>
          <w:rFonts w:hint="eastAsia" w:ascii="仿宋_GB2312" w:hAnsi="宋体" w:eastAsia="仿宋_GB2312"/>
          <w:b/>
          <w:szCs w:val="21"/>
        </w:rPr>
        <w:t>6.服务质量</w:t>
      </w:r>
    </w:p>
    <w:p>
      <w:pPr>
        <w:spacing w:line="360" w:lineRule="auto"/>
        <w:ind w:firstLine="420" w:firstLineChars="200"/>
        <w:rPr>
          <w:rFonts w:ascii="仿宋_GB2312" w:hAnsi="宋体" w:eastAsia="仿宋_GB2312" w:cs="Arial"/>
          <w:szCs w:val="21"/>
        </w:rPr>
      </w:pPr>
      <w:r>
        <w:rPr>
          <w:rFonts w:hint="eastAsia" w:ascii="仿宋_GB2312" w:hAnsi="宋体" w:eastAsia="仿宋_GB2312" w:cs="Arial"/>
          <w:szCs w:val="21"/>
        </w:rPr>
        <w:t>6.1供方应保证政府采购合同项下所供服务是由供方提供的，并完全符合强制性的国家技术质量规范和政府采购合同规定的质量、性能和技术规范等要求。</w:t>
      </w:r>
    </w:p>
    <w:p>
      <w:pPr>
        <w:spacing w:line="360" w:lineRule="auto"/>
        <w:ind w:firstLine="420" w:firstLineChars="200"/>
        <w:rPr>
          <w:rFonts w:ascii="仿宋_GB2312" w:hAnsi="宋体" w:eastAsia="仿宋_GB2312" w:cs="Arial"/>
          <w:szCs w:val="21"/>
        </w:rPr>
      </w:pPr>
      <w:r>
        <w:rPr>
          <w:rFonts w:hint="eastAsia" w:ascii="仿宋_GB2312" w:hAnsi="宋体" w:eastAsia="仿宋_GB2312" w:cs="Arial"/>
          <w:szCs w:val="21"/>
        </w:rPr>
        <w:t>6.2供方提供的服务质量应满足行业一般标准，符合合同约定。</w:t>
      </w:r>
    </w:p>
    <w:p>
      <w:pPr>
        <w:spacing w:line="360" w:lineRule="auto"/>
        <w:ind w:firstLine="420" w:firstLineChars="200"/>
        <w:rPr>
          <w:rFonts w:ascii="仿宋_GB2312" w:hAnsi="宋体" w:eastAsia="仿宋_GB2312" w:cs="Arial"/>
          <w:szCs w:val="21"/>
        </w:rPr>
      </w:pPr>
      <w:r>
        <w:rPr>
          <w:rFonts w:hint="eastAsia" w:ascii="仿宋_GB2312" w:hAnsi="宋体" w:eastAsia="仿宋_GB2312" w:cs="Arial"/>
          <w:szCs w:val="21"/>
        </w:rPr>
        <w:t>6.3需方有权对供方的服务质量进行监督，发现服务存在不符合合同标准的情形的，可以要求供方改正服务方式、替换服务人员等补救方式，供方应按需方要求改正，并赔偿需方实际损失。</w:t>
      </w:r>
    </w:p>
    <w:p>
      <w:pPr>
        <w:spacing w:line="360" w:lineRule="auto"/>
        <w:ind w:firstLine="420" w:firstLineChars="200"/>
        <w:rPr>
          <w:rFonts w:ascii="仿宋_GB2312" w:hAnsi="宋体" w:eastAsia="仿宋_GB2312" w:cs="Arial"/>
          <w:szCs w:val="21"/>
        </w:rPr>
      </w:pPr>
      <w:r>
        <w:rPr>
          <w:rFonts w:hint="eastAsia" w:ascii="仿宋_GB2312" w:hAnsi="宋体" w:eastAsia="仿宋_GB2312" w:cs="Arial"/>
          <w:szCs w:val="21"/>
        </w:rPr>
        <w:t>6.4对于委托开发等最终以产品形式交付需方使用的服务，供方需按照招标文件要求对产品提供售后服务及质量保证，供方投标文件承诺的售后服务及质量保证优于招标文件要求的，以投标文件承诺的售后服务及质量保证为准。</w:t>
      </w:r>
    </w:p>
    <w:p>
      <w:pPr>
        <w:spacing w:line="360" w:lineRule="auto"/>
        <w:ind w:firstLine="411" w:firstLineChars="196"/>
        <w:rPr>
          <w:rFonts w:ascii="仿宋_GB2312" w:hAnsi="宋体" w:eastAsia="仿宋_GB2312"/>
          <w:b/>
          <w:szCs w:val="21"/>
        </w:rPr>
      </w:pPr>
      <w:r>
        <w:rPr>
          <w:rFonts w:hint="eastAsia" w:ascii="仿宋_GB2312" w:hAnsi="宋体" w:eastAsia="仿宋_GB2312"/>
          <w:b/>
          <w:szCs w:val="21"/>
        </w:rPr>
        <w:t>7.技术服务和保修责任</w:t>
      </w:r>
    </w:p>
    <w:p>
      <w:pPr>
        <w:spacing w:line="360" w:lineRule="auto"/>
        <w:ind w:firstLine="411" w:firstLineChars="196"/>
        <w:rPr>
          <w:rFonts w:ascii="仿宋_GB2312" w:hAnsi="宋体" w:eastAsia="仿宋_GB2312"/>
          <w:szCs w:val="21"/>
        </w:rPr>
      </w:pPr>
      <w:r>
        <w:rPr>
          <w:rFonts w:hint="eastAsia" w:ascii="仿宋_GB2312" w:hAnsi="宋体" w:eastAsia="仿宋_GB2312"/>
          <w:szCs w:val="21"/>
        </w:rPr>
        <w:t>7.1本条适用于</w:t>
      </w:r>
      <w:r>
        <w:rPr>
          <w:rFonts w:hint="eastAsia" w:ascii="仿宋_GB2312" w:hAnsi="宋体" w:eastAsia="仿宋_GB2312" w:cs="Arial"/>
          <w:szCs w:val="21"/>
        </w:rPr>
        <w:t>委托开发等最终以产品形式交付需方使用的服务。</w:t>
      </w:r>
    </w:p>
    <w:p>
      <w:pPr>
        <w:spacing w:line="360" w:lineRule="auto"/>
        <w:ind w:firstLine="411" w:firstLineChars="196"/>
        <w:rPr>
          <w:rFonts w:ascii="仿宋_GB2312" w:hAnsi="宋体" w:eastAsia="仿宋_GB2312"/>
          <w:szCs w:val="21"/>
        </w:rPr>
      </w:pPr>
      <w:r>
        <w:rPr>
          <w:rFonts w:hint="eastAsia" w:ascii="仿宋_GB2312" w:hAnsi="宋体" w:eastAsia="仿宋_GB2312"/>
          <w:szCs w:val="21"/>
        </w:rPr>
        <w:t>7.2供方对交付的产品的保修期，以招标文件中的规定为准，如果投标文件中的承诺优于招标文件规定，则以投标文件为准。</w:t>
      </w:r>
    </w:p>
    <w:p>
      <w:pPr>
        <w:spacing w:line="360" w:lineRule="auto"/>
        <w:ind w:firstLine="411" w:firstLineChars="196"/>
        <w:rPr>
          <w:rFonts w:ascii="仿宋_GB2312" w:hAnsi="宋体" w:eastAsia="仿宋_GB2312"/>
          <w:szCs w:val="21"/>
        </w:rPr>
      </w:pPr>
      <w:r>
        <w:rPr>
          <w:rFonts w:hint="eastAsia" w:ascii="仿宋_GB2312" w:hAnsi="宋体" w:eastAsia="仿宋_GB2312"/>
          <w:szCs w:val="21"/>
        </w:rPr>
        <w:t>7.3供方应按如下内容提供售后服务：</w:t>
      </w:r>
    </w:p>
    <w:p>
      <w:pPr>
        <w:spacing w:line="360" w:lineRule="auto"/>
        <w:ind w:firstLine="411" w:firstLineChars="196"/>
        <w:rPr>
          <w:rFonts w:ascii="仿宋_GB2312" w:hAnsi="宋体" w:eastAsia="仿宋_GB2312"/>
          <w:szCs w:val="21"/>
        </w:rPr>
      </w:pPr>
      <w:r>
        <w:rPr>
          <w:rFonts w:hint="eastAsia" w:ascii="仿宋_GB2312" w:hAnsi="宋体" w:eastAsia="仿宋_GB2312"/>
          <w:szCs w:val="21"/>
        </w:rPr>
        <w:t>7.3.1产品经过试运行期，所有性能指标达到技术规范书的要求时，可按招标文件、投标文件内容进行初验。在试运行期间，由于产品质量等造成某些指标达不到要求，供方须更换或进行修复，试运行期重新计算。</w:t>
      </w:r>
    </w:p>
    <w:p>
      <w:pPr>
        <w:spacing w:line="360" w:lineRule="auto"/>
        <w:ind w:firstLine="411" w:firstLineChars="196"/>
        <w:rPr>
          <w:rFonts w:ascii="仿宋_GB2312" w:hAnsi="宋体" w:eastAsia="仿宋_GB2312"/>
          <w:szCs w:val="21"/>
        </w:rPr>
      </w:pPr>
      <w:r>
        <w:rPr>
          <w:rFonts w:hint="eastAsia" w:ascii="仿宋_GB2312" w:hAnsi="宋体" w:eastAsia="仿宋_GB2312"/>
          <w:szCs w:val="21"/>
        </w:rPr>
        <w:t>7.3.2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pPr>
        <w:spacing w:line="360" w:lineRule="auto"/>
        <w:ind w:firstLine="411" w:firstLineChars="196"/>
        <w:rPr>
          <w:rFonts w:ascii="仿宋_GB2312" w:hAnsi="宋体" w:eastAsia="仿宋_GB2312"/>
          <w:szCs w:val="21"/>
        </w:rPr>
      </w:pPr>
      <w:r>
        <w:rPr>
          <w:rFonts w:hint="eastAsia" w:ascii="仿宋_GB2312" w:hAnsi="宋体" w:eastAsia="仿宋_GB2312"/>
          <w:szCs w:val="21"/>
        </w:rPr>
        <w:t>7.3.3保修期间供方要保修除消耗品以外的所有产品。如果系统、设备等发生故障，供方要调查故障原因并修复直至满足最终验收指标和性能的要求，或者修理、更换整个或部分有缺陷的材料。</w:t>
      </w:r>
    </w:p>
    <w:p>
      <w:pPr>
        <w:spacing w:line="360" w:lineRule="auto"/>
        <w:ind w:firstLine="411" w:firstLineChars="196"/>
        <w:rPr>
          <w:rFonts w:ascii="仿宋_GB2312" w:hAnsi="宋体" w:eastAsia="仿宋_GB2312"/>
          <w:szCs w:val="21"/>
        </w:rPr>
      </w:pPr>
      <w:r>
        <w:rPr>
          <w:rFonts w:hint="eastAsia" w:ascii="仿宋_GB2312" w:hAnsi="宋体" w:eastAsia="仿宋_GB2312"/>
          <w:szCs w:val="21"/>
        </w:rPr>
        <w:t>7.3.4保修期内，供方提供电话、电子邮件、Web、现场服务等方式的技术支持，对用户的现场服务要求，供方必须按投标文件做出的承诺进行响应。</w:t>
      </w:r>
    </w:p>
    <w:p>
      <w:pPr>
        <w:spacing w:line="360" w:lineRule="auto"/>
        <w:ind w:firstLine="411" w:firstLineChars="196"/>
        <w:rPr>
          <w:rFonts w:ascii="仿宋_GB2312" w:hAnsi="宋体" w:eastAsia="仿宋_GB2312"/>
          <w:szCs w:val="21"/>
        </w:rPr>
      </w:pPr>
      <w:r>
        <w:rPr>
          <w:rFonts w:hint="eastAsia" w:ascii="仿宋_GB2312" w:hAnsi="宋体" w:eastAsia="仿宋_GB2312"/>
          <w:szCs w:val="21"/>
        </w:rPr>
        <w:t>7.3.5保修期内，供方应对出现故障无法修复的产品或无法正常运行的系统，提供替代产品以保证系统的正常工作。</w:t>
      </w:r>
    </w:p>
    <w:p>
      <w:pPr>
        <w:spacing w:line="360" w:lineRule="auto"/>
        <w:ind w:firstLine="411" w:firstLineChars="196"/>
        <w:rPr>
          <w:rFonts w:ascii="仿宋_GB2312" w:hAnsi="宋体" w:eastAsia="仿宋_GB2312"/>
          <w:szCs w:val="21"/>
        </w:rPr>
      </w:pPr>
      <w:r>
        <w:rPr>
          <w:rFonts w:hint="eastAsia" w:ascii="仿宋_GB2312" w:hAnsi="宋体" w:eastAsia="仿宋_GB2312"/>
          <w:szCs w:val="21"/>
        </w:rPr>
        <w:t>7.3.6保修期内，供方应投标时的承诺提供相关服务。</w:t>
      </w:r>
    </w:p>
    <w:p>
      <w:pPr>
        <w:spacing w:line="360" w:lineRule="auto"/>
        <w:ind w:firstLine="411" w:firstLineChars="196"/>
        <w:rPr>
          <w:rFonts w:ascii="仿宋_GB2312" w:hAnsi="宋体" w:eastAsia="仿宋_GB2312"/>
          <w:szCs w:val="21"/>
        </w:rPr>
      </w:pPr>
      <w:r>
        <w:rPr>
          <w:rFonts w:hint="eastAsia" w:ascii="仿宋_GB2312" w:hAnsi="宋体" w:eastAsia="仿宋_GB2312"/>
          <w:szCs w:val="21"/>
        </w:rPr>
        <w:t>7.3.7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pPr>
        <w:spacing w:line="360" w:lineRule="auto"/>
        <w:ind w:firstLine="411" w:firstLineChars="196"/>
        <w:rPr>
          <w:rFonts w:ascii="仿宋_GB2312" w:hAnsi="宋体" w:eastAsia="仿宋_GB2312"/>
          <w:szCs w:val="21"/>
        </w:rPr>
      </w:pPr>
      <w:r>
        <w:rPr>
          <w:rFonts w:hint="eastAsia" w:ascii="仿宋_GB2312" w:hAnsi="宋体" w:eastAsia="仿宋_GB2312"/>
          <w:szCs w:val="21"/>
        </w:rPr>
        <w:t>7.3.8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pPr>
        <w:spacing w:line="360" w:lineRule="auto"/>
        <w:ind w:firstLine="411" w:firstLineChars="196"/>
        <w:rPr>
          <w:rFonts w:ascii="仿宋_GB2312" w:hAnsi="宋体" w:eastAsia="仿宋_GB2312"/>
          <w:szCs w:val="21"/>
        </w:rPr>
      </w:pPr>
      <w:r>
        <w:rPr>
          <w:rFonts w:hint="eastAsia" w:ascii="仿宋_GB2312" w:hAnsi="宋体" w:eastAsia="仿宋_GB2312"/>
          <w:szCs w:val="21"/>
        </w:rPr>
        <w:t>7.3.9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pPr>
        <w:spacing w:line="360" w:lineRule="auto"/>
        <w:ind w:firstLine="417" w:firstLineChars="199"/>
        <w:rPr>
          <w:rFonts w:ascii="仿宋_GB2312" w:hAnsi="宋体" w:eastAsia="仿宋_GB2312"/>
          <w:szCs w:val="21"/>
        </w:rPr>
      </w:pPr>
      <w:r>
        <w:rPr>
          <w:rFonts w:hint="eastAsia" w:ascii="仿宋_GB2312" w:hAnsi="宋体" w:eastAsia="仿宋_GB2312"/>
          <w:szCs w:val="21"/>
        </w:rPr>
        <w:t>7.3.10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pPr>
        <w:spacing w:line="360" w:lineRule="auto"/>
        <w:ind w:firstLine="417" w:firstLineChars="199"/>
        <w:rPr>
          <w:rFonts w:ascii="仿宋_GB2312" w:hAnsi="宋体" w:eastAsia="仿宋_GB2312"/>
          <w:b/>
          <w:szCs w:val="21"/>
        </w:rPr>
      </w:pPr>
      <w:r>
        <w:rPr>
          <w:rFonts w:hint="eastAsia" w:ascii="仿宋_GB2312" w:hAnsi="宋体" w:eastAsia="仿宋_GB2312"/>
          <w:b/>
          <w:szCs w:val="21"/>
        </w:rPr>
        <w:t>8.检验和验收</w:t>
      </w:r>
    </w:p>
    <w:p>
      <w:pPr>
        <w:spacing w:line="360" w:lineRule="auto"/>
        <w:ind w:firstLine="417" w:firstLineChars="199"/>
        <w:rPr>
          <w:rFonts w:ascii="仿宋_GB2312" w:hAnsi="宋体" w:eastAsia="仿宋_GB2312"/>
          <w:szCs w:val="21"/>
        </w:rPr>
      </w:pPr>
      <w:r>
        <w:rPr>
          <w:rFonts w:hint="eastAsia" w:ascii="仿宋_GB2312" w:hAnsi="宋体" w:eastAsia="仿宋_GB2312"/>
          <w:szCs w:val="21"/>
        </w:rPr>
        <w:t>8.1完成服务后，需方或采购代理机构（由具体项目决定）应在政府采购合同规定的时间内组织验收，并在“验收书”上签字。“验收书”将作为申请付款文件的一部分。</w:t>
      </w:r>
    </w:p>
    <w:p>
      <w:pPr>
        <w:spacing w:line="360" w:lineRule="auto"/>
        <w:ind w:firstLine="417" w:firstLineChars="199"/>
        <w:rPr>
          <w:rFonts w:ascii="仿宋_GB2312" w:hAnsi="宋体" w:eastAsia="仿宋_GB2312"/>
          <w:szCs w:val="21"/>
        </w:rPr>
      </w:pPr>
      <w:r>
        <w:rPr>
          <w:rFonts w:hint="eastAsia" w:ascii="仿宋_GB2312" w:hAnsi="宋体" w:eastAsia="仿宋_GB2312"/>
          <w:szCs w:val="21"/>
        </w:rPr>
        <w:t>8.2</w:t>
      </w:r>
      <w:r>
        <w:rPr>
          <w:rFonts w:hint="eastAsia" w:ascii="仿宋_GB2312" w:hAnsi="宋体" w:eastAsia="仿宋_GB2312" w:cs="Arial"/>
          <w:szCs w:val="21"/>
        </w:rPr>
        <w:t>对于委托开发等最终以产品形式交付需方使用的服务，</w:t>
      </w:r>
      <w:r>
        <w:rPr>
          <w:rFonts w:hint="eastAsia" w:ascii="仿宋_GB2312" w:hAnsi="宋体" w:eastAsia="仿宋_GB2312"/>
          <w:szCs w:val="21"/>
        </w:rPr>
        <w:t>保修期自验收书签署之日起计算。</w:t>
      </w:r>
    </w:p>
    <w:p>
      <w:pPr>
        <w:tabs>
          <w:tab w:val="left" w:pos="360"/>
        </w:tabs>
        <w:spacing w:line="360" w:lineRule="auto"/>
        <w:ind w:firstLine="457" w:firstLineChars="218"/>
        <w:rPr>
          <w:rFonts w:ascii="仿宋_GB2312" w:hAnsi="宋体" w:eastAsia="仿宋_GB2312"/>
          <w:b/>
          <w:szCs w:val="21"/>
        </w:rPr>
      </w:pPr>
      <w:r>
        <w:rPr>
          <w:rFonts w:hint="eastAsia" w:ascii="仿宋_GB2312" w:hAnsi="宋体" w:eastAsia="仿宋_GB2312"/>
          <w:b/>
          <w:szCs w:val="21"/>
        </w:rPr>
        <w:t>9.违约责任</w:t>
      </w:r>
    </w:p>
    <w:p>
      <w:pPr>
        <w:spacing w:line="360" w:lineRule="auto"/>
        <w:ind w:firstLine="457" w:firstLineChars="218"/>
        <w:rPr>
          <w:rFonts w:ascii="仿宋_GB2312" w:hAnsi="宋体" w:eastAsia="仿宋_GB2312" w:cs="Arial"/>
          <w:szCs w:val="21"/>
        </w:rPr>
      </w:pPr>
      <w:r>
        <w:rPr>
          <w:rFonts w:hint="eastAsia" w:ascii="仿宋_GB2312" w:hAnsi="宋体" w:eastAsia="仿宋_GB2312" w:cs="Arial"/>
          <w:szCs w:val="21"/>
        </w:rPr>
        <w:t>9.1如果供方未按照政府采购合同规定的要求提供服务；或供方未能履行政府采购合同规定的任何其它义务时，需方有权向供方发出违约通知书，供方应按照需方选择的下列一种或多种方式承担赔偿责任：</w:t>
      </w:r>
    </w:p>
    <w:p>
      <w:pPr>
        <w:spacing w:line="360" w:lineRule="auto"/>
        <w:ind w:firstLine="420" w:firstLineChars="200"/>
        <w:rPr>
          <w:rFonts w:ascii="仿宋_GB2312" w:hAnsi="宋体" w:eastAsia="仿宋_GB2312" w:cs="Arial"/>
          <w:szCs w:val="21"/>
        </w:rPr>
      </w:pPr>
      <w:r>
        <w:rPr>
          <w:rFonts w:hint="eastAsia" w:ascii="仿宋_GB2312" w:hAnsi="宋体" w:eastAsia="仿宋_GB2312" w:cs="Arial"/>
          <w:szCs w:val="21"/>
        </w:rPr>
        <w:t>9.1.1在需方同意延长的期限内提供服务并承担由此给需方造成的一切损失；</w:t>
      </w:r>
    </w:p>
    <w:p>
      <w:pPr>
        <w:spacing w:line="360" w:lineRule="auto"/>
        <w:ind w:firstLine="420" w:firstLineChars="200"/>
        <w:rPr>
          <w:rFonts w:ascii="仿宋_GB2312" w:hAnsi="宋体" w:eastAsia="仿宋_GB2312" w:cs="Arial"/>
          <w:szCs w:val="21"/>
        </w:rPr>
      </w:pPr>
      <w:r>
        <w:rPr>
          <w:rFonts w:hint="eastAsia" w:ascii="仿宋_GB2312" w:hAnsi="宋体" w:eastAsia="仿宋_GB2312" w:cs="Arial"/>
          <w:szCs w:val="21"/>
        </w:rPr>
        <w:t>9.1.2在需方规定的时间内，用符合政府采购合同规定的服务以达到政府采购合同规定的要求，供方应承担由此发生的一切费用和风险。此时，相关服务的期限也应相应延长；</w:t>
      </w:r>
    </w:p>
    <w:p>
      <w:pPr>
        <w:spacing w:line="360" w:lineRule="auto"/>
        <w:ind w:firstLine="420" w:firstLineChars="200"/>
        <w:rPr>
          <w:rFonts w:ascii="仿宋_GB2312" w:hAnsi="宋体" w:eastAsia="仿宋_GB2312" w:cs="Arial"/>
          <w:szCs w:val="21"/>
        </w:rPr>
      </w:pPr>
      <w:r>
        <w:rPr>
          <w:rFonts w:hint="eastAsia" w:ascii="仿宋_GB2312" w:hAnsi="宋体" w:eastAsia="仿宋_GB2312" w:cs="Arial"/>
          <w:szCs w:val="21"/>
        </w:rPr>
        <w:t>9.1.3需方有权部分或全部解除政府采购合同并要求供方赔偿由此造成的损失。此时需方可采取必要的补救措施，相关费用由供方承担。</w:t>
      </w:r>
    </w:p>
    <w:p>
      <w:pPr>
        <w:spacing w:line="360" w:lineRule="auto"/>
        <w:ind w:firstLine="420" w:firstLineChars="200"/>
        <w:rPr>
          <w:rFonts w:ascii="仿宋_GB2312" w:hAnsi="宋体" w:eastAsia="仿宋_GB2312" w:cs="Arial"/>
          <w:szCs w:val="21"/>
        </w:rPr>
      </w:pPr>
      <w:r>
        <w:rPr>
          <w:rFonts w:hint="eastAsia" w:ascii="仿宋_GB2312" w:hAnsi="宋体" w:eastAsia="仿宋_GB2312" w:cs="Arial"/>
          <w:szCs w:val="21"/>
        </w:rPr>
        <w:t>9.2如果供方在收到需方的违约通知书后10日内未作答复也没有按照需方选择的方式承担违约责任，则需方有权从履约保证金（如有）、尚未支付的政府采购合同价款中扣回索赔金额。如果这些金额不足以补偿，需方有权向供方提出不足部分的赔偿要求。</w:t>
      </w:r>
    </w:p>
    <w:p>
      <w:pPr>
        <w:spacing w:line="360" w:lineRule="auto"/>
        <w:ind w:firstLine="420" w:firstLineChars="200"/>
        <w:rPr>
          <w:rFonts w:ascii="仿宋_GB2312" w:hAnsi="宋体" w:eastAsia="仿宋_GB2312" w:cs="Arial"/>
          <w:szCs w:val="21"/>
        </w:rPr>
      </w:pPr>
      <w:r>
        <w:rPr>
          <w:rFonts w:hint="eastAsia" w:ascii="仿宋_GB2312" w:hAnsi="宋体" w:eastAsia="仿宋_GB2312" w:cs="Arial"/>
          <w:szCs w:val="21"/>
        </w:rPr>
        <w:t>9.3延期服务的违约责任</w:t>
      </w:r>
    </w:p>
    <w:p>
      <w:pPr>
        <w:spacing w:line="360" w:lineRule="auto"/>
        <w:ind w:firstLine="420" w:firstLineChars="200"/>
        <w:rPr>
          <w:rFonts w:ascii="仿宋_GB2312" w:hAnsi="宋体" w:eastAsia="仿宋_GB2312" w:cs="Arial"/>
          <w:szCs w:val="21"/>
        </w:rPr>
      </w:pPr>
      <w:r>
        <w:rPr>
          <w:rFonts w:hint="eastAsia" w:ascii="仿宋_GB2312" w:hAnsi="宋体" w:eastAsia="仿宋_GB2312" w:cs="Arial"/>
          <w:szCs w:val="21"/>
        </w:rPr>
        <w:t>9.3.1除本合同条款第9条规定外，如果供方没有按照政府采购合同规定的时间提供服务，需方可要求供方支付违约金。违约金按照每周未提供服务费用的0.5%计收，但违约金的最高限额为未提供服务的合同价格的5%。一周按7天计算，不足7天按一周计算。如果达到最高限额，需方有权解除政府采购合同。</w:t>
      </w:r>
    </w:p>
    <w:p>
      <w:pPr>
        <w:spacing w:line="360" w:lineRule="auto"/>
        <w:ind w:firstLine="411" w:firstLineChars="196"/>
        <w:rPr>
          <w:rFonts w:ascii="仿宋_GB2312" w:hAnsi="宋体" w:eastAsia="仿宋_GB2312" w:cs="Arial"/>
          <w:szCs w:val="21"/>
        </w:rPr>
      </w:pPr>
      <w:r>
        <w:rPr>
          <w:rFonts w:hint="eastAsia" w:ascii="仿宋_GB2312" w:hAnsi="宋体" w:eastAsia="仿宋_GB2312" w:cs="Arial"/>
          <w:szCs w:val="21"/>
        </w:rPr>
        <w:t>8.4以上各项交付的违约金并不影响违约方履行政府采购合同的各项义务。</w:t>
      </w:r>
    </w:p>
    <w:p>
      <w:pPr>
        <w:spacing w:line="360" w:lineRule="auto"/>
        <w:ind w:left="420"/>
        <w:rPr>
          <w:rFonts w:ascii="仿宋_GB2312" w:hAnsi="宋体" w:eastAsia="仿宋_GB2312" w:cs="Arial"/>
          <w:b/>
          <w:szCs w:val="21"/>
        </w:rPr>
      </w:pPr>
      <w:r>
        <w:rPr>
          <w:rFonts w:hint="eastAsia" w:ascii="仿宋_GB2312" w:hAnsi="宋体" w:eastAsia="仿宋_GB2312" w:cs="Arial"/>
          <w:b/>
          <w:szCs w:val="21"/>
        </w:rPr>
        <w:t>10.不可抗力</w:t>
      </w:r>
    </w:p>
    <w:p>
      <w:pPr>
        <w:spacing w:line="360" w:lineRule="auto"/>
        <w:ind w:firstLine="411" w:firstLineChars="196"/>
        <w:rPr>
          <w:rFonts w:ascii="仿宋_GB2312" w:hAnsi="宋体" w:eastAsia="仿宋_GB2312" w:cs="Arial"/>
          <w:szCs w:val="21"/>
        </w:rPr>
      </w:pPr>
      <w:r>
        <w:rPr>
          <w:rFonts w:hint="eastAsia" w:ascii="仿宋_GB2312" w:hAnsi="宋体" w:eastAsia="仿宋_GB2312" w:cs="Arial"/>
          <w:szCs w:val="21"/>
        </w:rPr>
        <w:t>10.1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pPr>
        <w:spacing w:line="360" w:lineRule="auto"/>
        <w:ind w:firstLine="411" w:firstLineChars="196"/>
        <w:rPr>
          <w:rFonts w:ascii="仿宋_GB2312" w:hAnsi="宋体" w:eastAsia="仿宋_GB2312" w:cs="Arial"/>
          <w:szCs w:val="21"/>
        </w:rPr>
      </w:pPr>
      <w:r>
        <w:rPr>
          <w:rFonts w:hint="eastAsia" w:ascii="仿宋_GB2312" w:hAnsi="宋体" w:eastAsia="仿宋_GB2312" w:cs="Arial"/>
          <w:szCs w:val="21"/>
        </w:rPr>
        <w:t>10.2本条所述的“不可抗力”系指那些双方无法控制，不可预见的事件，但不包括双方的违约或疏忽。这些事件包括但不限于：战争、严重火灾、洪水、台风、地震。</w:t>
      </w:r>
    </w:p>
    <w:p>
      <w:pPr>
        <w:spacing w:line="360" w:lineRule="auto"/>
        <w:ind w:firstLine="411" w:firstLineChars="196"/>
        <w:rPr>
          <w:rFonts w:ascii="仿宋_GB2312" w:hAnsi="宋体" w:eastAsia="仿宋_GB2312" w:cs="Arial"/>
          <w:szCs w:val="21"/>
        </w:rPr>
      </w:pPr>
      <w:r>
        <w:rPr>
          <w:rFonts w:hint="eastAsia" w:ascii="仿宋_GB2312" w:hAnsi="宋体" w:eastAsia="仿宋_GB2312" w:cs="Arial"/>
          <w:szCs w:val="21"/>
        </w:rPr>
        <w:t>10.3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pPr>
        <w:spacing w:line="360" w:lineRule="auto"/>
        <w:ind w:firstLine="411" w:firstLineChars="196"/>
        <w:rPr>
          <w:rFonts w:ascii="仿宋_GB2312" w:hAnsi="宋体" w:eastAsia="仿宋_GB2312" w:cs="Arial"/>
          <w:b/>
          <w:szCs w:val="21"/>
        </w:rPr>
      </w:pPr>
      <w:r>
        <w:rPr>
          <w:rFonts w:hint="eastAsia" w:ascii="仿宋_GB2312" w:hAnsi="宋体" w:eastAsia="仿宋_GB2312" w:cs="Arial"/>
          <w:b/>
          <w:szCs w:val="21"/>
        </w:rPr>
        <w:t>11.争端的解决</w:t>
      </w:r>
    </w:p>
    <w:p>
      <w:pPr>
        <w:spacing w:line="360" w:lineRule="auto"/>
        <w:ind w:firstLine="411" w:firstLineChars="196"/>
        <w:rPr>
          <w:rFonts w:ascii="仿宋_GB2312" w:hAnsi="宋体" w:eastAsia="仿宋_GB2312" w:cs="Arial"/>
          <w:szCs w:val="21"/>
        </w:rPr>
      </w:pPr>
      <w:r>
        <w:rPr>
          <w:rFonts w:hint="eastAsia" w:ascii="仿宋_GB2312" w:hAnsi="宋体" w:eastAsia="仿宋_GB2312" w:cs="Arial"/>
          <w:szCs w:val="21"/>
        </w:rPr>
        <w:t>11.1需方和供方应通过友好协商，解决在执行本政府采购合同过程中所发生的或与本政府采购合同有关的一切争端。</w:t>
      </w:r>
    </w:p>
    <w:p>
      <w:pPr>
        <w:spacing w:line="360" w:lineRule="auto"/>
        <w:ind w:firstLine="411" w:firstLineChars="196"/>
        <w:rPr>
          <w:rFonts w:ascii="仿宋_GB2312" w:hAnsi="宋体" w:eastAsia="仿宋_GB2312" w:cs="Arial"/>
          <w:szCs w:val="21"/>
        </w:rPr>
      </w:pPr>
      <w:r>
        <w:rPr>
          <w:rFonts w:hint="eastAsia" w:ascii="仿宋_GB2312" w:hAnsi="宋体" w:eastAsia="仿宋_GB2312" w:cs="Arial"/>
          <w:szCs w:val="21"/>
        </w:rPr>
        <w:t>11.2如果协商不成，双方中的任何一方可向需方所在地的人民法院提起诉讼。</w:t>
      </w:r>
    </w:p>
    <w:p>
      <w:pPr>
        <w:spacing w:line="360" w:lineRule="auto"/>
        <w:ind w:firstLine="411" w:firstLineChars="196"/>
        <w:rPr>
          <w:rFonts w:ascii="仿宋_GB2312" w:hAnsi="宋体" w:eastAsia="仿宋_GB2312" w:cs="Arial"/>
          <w:szCs w:val="21"/>
        </w:rPr>
      </w:pPr>
      <w:r>
        <w:rPr>
          <w:rFonts w:hint="eastAsia" w:ascii="仿宋_GB2312" w:hAnsi="宋体" w:eastAsia="仿宋_GB2312" w:cs="Arial"/>
          <w:szCs w:val="21"/>
        </w:rPr>
        <w:t>11.3因政府采购合同部分履行引发诉讼的，在诉讼期间，除正在进行诉讼的部分外，本政府采购合同的其它部分应继续执行。</w:t>
      </w:r>
    </w:p>
    <w:p>
      <w:pPr>
        <w:spacing w:line="360" w:lineRule="auto"/>
        <w:ind w:firstLine="411" w:firstLineChars="196"/>
        <w:rPr>
          <w:rFonts w:ascii="仿宋_GB2312" w:hAnsi="宋体" w:eastAsia="仿宋_GB2312" w:cs="Arial"/>
          <w:b/>
          <w:szCs w:val="21"/>
        </w:rPr>
      </w:pPr>
      <w:r>
        <w:rPr>
          <w:rFonts w:hint="eastAsia" w:ascii="仿宋_GB2312" w:hAnsi="宋体" w:eastAsia="仿宋_GB2312" w:cs="Arial"/>
          <w:b/>
          <w:szCs w:val="21"/>
        </w:rPr>
        <w:t>12.违约终止政府采购合同</w:t>
      </w:r>
    </w:p>
    <w:p>
      <w:pPr>
        <w:spacing w:line="360" w:lineRule="auto"/>
        <w:ind w:firstLine="411" w:firstLineChars="196"/>
        <w:rPr>
          <w:rFonts w:ascii="仿宋_GB2312" w:hAnsi="宋体" w:eastAsia="仿宋_GB2312" w:cs="Arial"/>
          <w:szCs w:val="21"/>
        </w:rPr>
      </w:pPr>
      <w:r>
        <w:rPr>
          <w:rFonts w:hint="eastAsia" w:ascii="仿宋_GB2312" w:hAnsi="宋体" w:eastAsia="仿宋_GB2312" w:cs="Arial"/>
          <w:szCs w:val="21"/>
        </w:rPr>
        <w:t>12.1在需方因供方违约而按政府采购合同约定采取的任何补救措施不起作用的情况下，需方可在下列情况下向供方发出书面通知，提出终止部分或全部政府采购合同。</w:t>
      </w:r>
    </w:p>
    <w:p>
      <w:pPr>
        <w:spacing w:line="360" w:lineRule="auto"/>
        <w:ind w:firstLine="411" w:firstLineChars="196"/>
        <w:rPr>
          <w:rFonts w:ascii="仿宋_GB2312" w:hAnsi="宋体" w:eastAsia="仿宋_GB2312" w:cs="Arial"/>
          <w:szCs w:val="21"/>
        </w:rPr>
      </w:pPr>
      <w:r>
        <w:rPr>
          <w:rFonts w:hint="eastAsia" w:ascii="仿宋_GB2312" w:hAnsi="宋体" w:eastAsia="仿宋_GB2312" w:cs="Arial"/>
          <w:szCs w:val="21"/>
        </w:rPr>
        <w:t>12.1.1如果供方未能在政府采购合同规定的限期或需方同意延长的限期内提供部分或全部服务；</w:t>
      </w:r>
    </w:p>
    <w:p>
      <w:pPr>
        <w:spacing w:line="360" w:lineRule="auto"/>
        <w:ind w:firstLine="411" w:firstLineChars="196"/>
        <w:rPr>
          <w:rFonts w:ascii="仿宋_GB2312" w:hAnsi="宋体" w:eastAsia="仿宋_GB2312" w:cs="Arial"/>
          <w:szCs w:val="21"/>
        </w:rPr>
      </w:pPr>
      <w:r>
        <w:rPr>
          <w:rFonts w:hint="eastAsia" w:ascii="仿宋_GB2312" w:hAnsi="宋体" w:eastAsia="仿宋_GB2312" w:cs="Arial"/>
          <w:szCs w:val="21"/>
        </w:rPr>
        <w:t>12.1.2如果供方未能履行政府采购合同规定的其它任何义务。</w:t>
      </w:r>
    </w:p>
    <w:p>
      <w:pPr>
        <w:spacing w:line="360" w:lineRule="auto"/>
        <w:ind w:firstLine="411" w:firstLineChars="196"/>
        <w:rPr>
          <w:rFonts w:ascii="仿宋_GB2312" w:hAnsi="宋体" w:eastAsia="仿宋_GB2312" w:cs="Arial"/>
          <w:szCs w:val="21"/>
        </w:rPr>
      </w:pPr>
      <w:r>
        <w:rPr>
          <w:rFonts w:hint="eastAsia" w:ascii="仿宋_GB2312" w:hAnsi="宋体" w:eastAsia="仿宋_GB2312" w:cs="Arial"/>
          <w:szCs w:val="21"/>
        </w:rPr>
        <w:t>12.1.3未经需方事先书面同意，供方部分转让和分包或全部转让和分包其应履行的政府采购合同义务。</w:t>
      </w:r>
    </w:p>
    <w:p>
      <w:pPr>
        <w:spacing w:line="360" w:lineRule="auto"/>
        <w:ind w:firstLine="411" w:firstLineChars="196"/>
        <w:rPr>
          <w:rFonts w:ascii="仿宋_GB2312" w:hAnsi="宋体" w:eastAsia="仿宋_GB2312" w:cs="Arial"/>
          <w:szCs w:val="21"/>
        </w:rPr>
      </w:pPr>
      <w:r>
        <w:rPr>
          <w:rFonts w:hint="eastAsia" w:ascii="仿宋_GB2312" w:hAnsi="宋体" w:eastAsia="仿宋_GB2312" w:cs="Arial"/>
          <w:szCs w:val="21"/>
        </w:rPr>
        <w:t>12.2 如果需方根据上述规定，终止了全部或部分政府采购合同，需方可以依其认为适当的条件和方法购买与未履行服务类似的服务，供方应对购买类似服务所超出的那部分费用负责。供方应继续履行政府采购合同中未终止的部分。</w:t>
      </w:r>
    </w:p>
    <w:p>
      <w:pPr>
        <w:spacing w:line="360" w:lineRule="auto"/>
        <w:ind w:firstLine="411" w:firstLineChars="196"/>
        <w:rPr>
          <w:rFonts w:ascii="仿宋_GB2312" w:hAnsi="宋体" w:eastAsia="仿宋_GB2312" w:cs="Arial"/>
          <w:b/>
          <w:szCs w:val="21"/>
        </w:rPr>
      </w:pPr>
      <w:r>
        <w:rPr>
          <w:rFonts w:hint="eastAsia" w:ascii="仿宋_GB2312" w:hAnsi="宋体" w:eastAsia="仿宋_GB2312" w:cs="Arial"/>
          <w:b/>
          <w:szCs w:val="21"/>
        </w:rPr>
        <w:t>13.政府采购法对政府采购合同变更终止的规定</w:t>
      </w:r>
    </w:p>
    <w:p>
      <w:pPr>
        <w:spacing w:line="360" w:lineRule="auto"/>
        <w:ind w:firstLine="411" w:firstLineChars="196"/>
        <w:rPr>
          <w:rFonts w:ascii="仿宋_GB2312" w:hAnsi="宋体" w:eastAsia="仿宋_GB2312" w:cs="Arial"/>
          <w:b/>
          <w:szCs w:val="21"/>
        </w:rPr>
      </w:pPr>
      <w:r>
        <w:rPr>
          <w:rFonts w:hint="eastAsia" w:ascii="仿宋_GB2312" w:hAnsi="宋体" w:eastAsia="仿宋_GB2312" w:cs="Arial"/>
          <w:szCs w:val="21"/>
        </w:rPr>
        <w:t>政府采购合同的双方当事人(指供需双方)不得擅自变更、中止或者终止政府采购合同。政府采购合同继续履行将损害国家利益和社会公共利益的，双方当事人应当变更、中止或者终止政府采购合同。有过错的一方应当承担赔偿责任，双方都有过错的，各自承担相应的责任。</w:t>
      </w:r>
    </w:p>
    <w:p>
      <w:pPr>
        <w:spacing w:line="360" w:lineRule="auto"/>
        <w:ind w:firstLine="411" w:firstLineChars="196"/>
        <w:rPr>
          <w:rFonts w:ascii="仿宋_GB2312" w:hAnsi="宋体" w:eastAsia="仿宋_GB2312" w:cs="Arial"/>
          <w:b/>
          <w:szCs w:val="21"/>
        </w:rPr>
      </w:pPr>
      <w:r>
        <w:rPr>
          <w:rFonts w:hint="eastAsia" w:ascii="仿宋_GB2312" w:hAnsi="宋体" w:eastAsia="仿宋_GB2312" w:cs="Arial"/>
          <w:b/>
          <w:szCs w:val="21"/>
        </w:rPr>
        <w:t>14.政府采购合同转让和分包</w:t>
      </w:r>
    </w:p>
    <w:p>
      <w:pPr>
        <w:spacing w:line="360" w:lineRule="auto"/>
        <w:ind w:firstLine="411" w:firstLineChars="196"/>
        <w:rPr>
          <w:rFonts w:ascii="仿宋_GB2312" w:hAnsi="宋体" w:eastAsia="仿宋_GB2312" w:cs="Arial"/>
          <w:szCs w:val="21"/>
        </w:rPr>
      </w:pPr>
      <w:r>
        <w:rPr>
          <w:rFonts w:hint="eastAsia" w:ascii="仿宋_GB2312" w:hAnsi="宋体" w:eastAsia="仿宋_GB2312" w:cs="Arial"/>
          <w:szCs w:val="21"/>
        </w:rPr>
        <w:t>除招标文件规定,并经需方事先书面同意外，供方不得部分转让和分包或全部转让和分包其应履行的政府采购合同义务。</w:t>
      </w:r>
    </w:p>
    <w:p>
      <w:pPr>
        <w:spacing w:line="360" w:lineRule="auto"/>
        <w:ind w:firstLine="411" w:firstLineChars="196"/>
        <w:rPr>
          <w:rFonts w:ascii="仿宋_GB2312" w:hAnsi="宋体" w:eastAsia="仿宋_GB2312" w:cs="Arial"/>
          <w:szCs w:val="21"/>
        </w:rPr>
      </w:pPr>
      <w:r>
        <w:rPr>
          <w:rFonts w:hint="eastAsia" w:ascii="仿宋_GB2312" w:hAnsi="宋体" w:eastAsia="仿宋_GB2312" w:cs="Arial"/>
          <w:b/>
          <w:szCs w:val="21"/>
        </w:rPr>
        <w:t>15.适用法律：</w:t>
      </w:r>
      <w:r>
        <w:rPr>
          <w:rFonts w:hint="eastAsia" w:ascii="仿宋_GB2312" w:hAnsi="宋体" w:eastAsia="仿宋_GB2312" w:cs="Arial"/>
          <w:szCs w:val="21"/>
        </w:rPr>
        <w:t>本政府采购合同按照中华人民共和国的现行法律进行解释。</w:t>
      </w:r>
    </w:p>
    <w:p>
      <w:pPr>
        <w:spacing w:line="360" w:lineRule="auto"/>
        <w:ind w:firstLine="411" w:firstLineChars="196"/>
        <w:rPr>
          <w:rFonts w:ascii="仿宋_GB2312" w:hAnsi="宋体" w:eastAsia="仿宋_GB2312" w:cs="Arial"/>
          <w:b/>
          <w:szCs w:val="21"/>
        </w:rPr>
      </w:pPr>
      <w:r>
        <w:rPr>
          <w:rFonts w:hint="eastAsia" w:ascii="仿宋_GB2312" w:hAnsi="宋体" w:eastAsia="仿宋_GB2312" w:cs="Arial"/>
          <w:b/>
          <w:szCs w:val="21"/>
        </w:rPr>
        <w:t>16.政府采购合同生效</w:t>
      </w:r>
    </w:p>
    <w:p>
      <w:pPr>
        <w:spacing w:line="360" w:lineRule="auto"/>
        <w:ind w:firstLine="411" w:firstLineChars="196"/>
        <w:rPr>
          <w:rFonts w:ascii="仿宋_GB2312" w:hAnsi="宋体" w:eastAsia="仿宋_GB2312" w:cs="Arial"/>
          <w:szCs w:val="21"/>
        </w:rPr>
      </w:pPr>
      <w:r>
        <w:rPr>
          <w:rFonts w:hint="eastAsia" w:ascii="仿宋_GB2312" w:hAnsi="宋体" w:eastAsia="仿宋_GB2312" w:cs="Arial"/>
          <w:szCs w:val="21"/>
        </w:rPr>
        <w:t>16.1本政府采购合同在供需双方法定代表人或其授权代理人签字和加盖公章后生效。</w:t>
      </w:r>
    </w:p>
    <w:p>
      <w:pPr>
        <w:spacing w:line="360" w:lineRule="auto"/>
        <w:ind w:firstLine="411" w:firstLineChars="196"/>
        <w:rPr>
          <w:rFonts w:ascii="仿宋_GB2312" w:hAnsi="宋体" w:eastAsia="仿宋_GB2312" w:cs="Arial"/>
          <w:szCs w:val="21"/>
        </w:rPr>
      </w:pPr>
      <w:r>
        <w:rPr>
          <w:rFonts w:hint="eastAsia" w:ascii="仿宋_GB2312" w:hAnsi="宋体" w:eastAsia="仿宋_GB2312" w:cs="Arial"/>
          <w:szCs w:val="21"/>
        </w:rPr>
        <w:t>16.2本政府采购合同一式五份，需方执二份，供方、</w:t>
      </w:r>
      <w:r>
        <w:rPr>
          <w:rFonts w:hint="eastAsia" w:ascii="仿宋_GB2312" w:hAnsi="宋体" w:eastAsia="仿宋_GB2312" w:cs="Lucida Sans Unicode"/>
          <w:szCs w:val="21"/>
        </w:rPr>
        <w:t>采购代理机构</w:t>
      </w:r>
      <w:r>
        <w:rPr>
          <w:rFonts w:hint="eastAsia" w:ascii="仿宋_GB2312" w:hAnsi="宋体" w:eastAsia="仿宋_GB2312" w:cs="Arial"/>
          <w:szCs w:val="21"/>
        </w:rPr>
        <w:t xml:space="preserve">、财政部门各执一份。 </w:t>
      </w:r>
    </w:p>
    <w:p>
      <w:pPr>
        <w:spacing w:line="360" w:lineRule="auto"/>
        <w:ind w:firstLine="411" w:firstLineChars="196"/>
        <w:rPr>
          <w:rFonts w:ascii="仿宋_GB2312" w:hAnsi="宋体" w:eastAsia="仿宋_GB2312" w:cs="Arial"/>
          <w:b/>
          <w:szCs w:val="21"/>
        </w:rPr>
      </w:pPr>
      <w:r>
        <w:rPr>
          <w:rFonts w:hint="eastAsia" w:ascii="仿宋_GB2312" w:hAnsi="宋体" w:eastAsia="仿宋_GB2312" w:cs="Arial"/>
          <w:b/>
          <w:szCs w:val="21"/>
        </w:rPr>
        <w:t>17.政府采购合同附件</w:t>
      </w:r>
    </w:p>
    <w:p>
      <w:pPr>
        <w:spacing w:line="360" w:lineRule="auto"/>
        <w:ind w:firstLine="411" w:firstLineChars="196"/>
        <w:rPr>
          <w:rFonts w:ascii="仿宋_GB2312" w:hAnsi="宋体" w:eastAsia="仿宋_GB2312" w:cs="Arial"/>
          <w:szCs w:val="21"/>
        </w:rPr>
      </w:pPr>
      <w:r>
        <w:rPr>
          <w:rFonts w:hint="eastAsia" w:ascii="仿宋_GB2312" w:hAnsi="宋体" w:eastAsia="仿宋_GB2312" w:cs="Arial"/>
          <w:szCs w:val="21"/>
        </w:rPr>
        <w:t>下列文件构成本政府采购合同不可分割的组成部分，与本政府采购合同具有同等法律效力：</w:t>
      </w:r>
    </w:p>
    <w:p>
      <w:pPr>
        <w:spacing w:line="360" w:lineRule="auto"/>
        <w:ind w:firstLine="411" w:firstLineChars="196"/>
        <w:rPr>
          <w:rFonts w:ascii="仿宋_GB2312" w:hAnsi="宋体" w:eastAsia="仿宋_GB2312" w:cs="Arial"/>
          <w:szCs w:val="21"/>
        </w:rPr>
      </w:pPr>
      <w:r>
        <w:rPr>
          <w:rFonts w:hint="eastAsia" w:ascii="仿宋_GB2312" w:hAnsi="宋体" w:eastAsia="仿宋_GB2312" w:cs="Arial"/>
          <w:szCs w:val="21"/>
        </w:rPr>
        <w:t>17.1</w:t>
      </w:r>
      <w:r>
        <w:rPr>
          <w:rFonts w:hint="eastAsia" w:ascii="仿宋_GB2312" w:hAnsi="宋体" w:eastAsia="仿宋_GB2312"/>
          <w:szCs w:val="21"/>
        </w:rPr>
        <w:t>招标文件；</w:t>
      </w:r>
    </w:p>
    <w:p>
      <w:pPr>
        <w:spacing w:line="360" w:lineRule="auto"/>
        <w:ind w:firstLine="420" w:firstLineChars="200"/>
        <w:jc w:val="left"/>
        <w:rPr>
          <w:rFonts w:ascii="仿宋_GB2312" w:hAnsi="宋体" w:eastAsia="仿宋_GB2312" w:cs="Arial"/>
          <w:szCs w:val="21"/>
        </w:rPr>
      </w:pPr>
      <w:r>
        <w:rPr>
          <w:rFonts w:hint="eastAsia" w:ascii="仿宋_GB2312" w:hAnsi="宋体" w:eastAsia="仿宋_GB2312" w:cs="Arial"/>
          <w:szCs w:val="21"/>
        </w:rPr>
        <w:t>17.2招标文件的更正公告、变更公告；</w:t>
      </w:r>
    </w:p>
    <w:p>
      <w:pPr>
        <w:spacing w:line="360" w:lineRule="auto"/>
        <w:ind w:firstLine="420" w:firstLineChars="200"/>
        <w:jc w:val="left"/>
        <w:rPr>
          <w:rFonts w:ascii="仿宋_GB2312" w:hAnsi="宋体" w:eastAsia="仿宋_GB2312" w:cs="Arial"/>
          <w:szCs w:val="21"/>
        </w:rPr>
      </w:pPr>
      <w:r>
        <w:rPr>
          <w:rFonts w:hint="eastAsia" w:ascii="仿宋_GB2312" w:hAnsi="宋体" w:eastAsia="仿宋_GB2312" w:cs="Arial"/>
          <w:szCs w:val="21"/>
        </w:rPr>
        <w:t xml:space="preserve">17.3中标供应商提交的投标文件；        </w:t>
      </w:r>
    </w:p>
    <w:p>
      <w:pPr>
        <w:spacing w:line="360" w:lineRule="auto"/>
        <w:ind w:firstLine="420" w:firstLineChars="200"/>
        <w:jc w:val="left"/>
        <w:rPr>
          <w:rFonts w:ascii="仿宋_GB2312" w:hAnsi="宋体" w:eastAsia="仿宋_GB2312"/>
          <w:szCs w:val="21"/>
        </w:rPr>
      </w:pPr>
      <w:r>
        <w:rPr>
          <w:rFonts w:hint="eastAsia" w:ascii="仿宋_GB2312" w:hAnsi="宋体" w:eastAsia="仿宋_GB2312" w:cs="Arial"/>
          <w:szCs w:val="21"/>
        </w:rPr>
        <w:t>17.4</w:t>
      </w:r>
      <w:r>
        <w:rPr>
          <w:rFonts w:hint="eastAsia" w:ascii="仿宋_GB2312" w:hAnsi="宋体" w:eastAsia="仿宋_GB2312"/>
          <w:szCs w:val="21"/>
        </w:rPr>
        <w:t>政府采购合同条款；</w:t>
      </w:r>
    </w:p>
    <w:p>
      <w:pPr>
        <w:spacing w:line="360" w:lineRule="auto"/>
        <w:ind w:firstLine="411" w:firstLineChars="196"/>
        <w:rPr>
          <w:rFonts w:ascii="仿宋_GB2312" w:hAnsi="宋体" w:eastAsia="仿宋_GB2312" w:cs="Arial"/>
          <w:szCs w:val="21"/>
        </w:rPr>
      </w:pPr>
      <w:r>
        <w:rPr>
          <w:rFonts w:hint="eastAsia" w:ascii="仿宋_GB2312" w:hAnsi="宋体" w:eastAsia="仿宋_GB2312" w:cs="Arial"/>
          <w:szCs w:val="21"/>
        </w:rPr>
        <w:t>17.5中标通知书；</w:t>
      </w:r>
    </w:p>
    <w:p>
      <w:pPr>
        <w:spacing w:line="360" w:lineRule="auto"/>
        <w:ind w:firstLine="420" w:firstLineChars="200"/>
        <w:jc w:val="left"/>
        <w:rPr>
          <w:rFonts w:ascii="仿宋_GB2312" w:hAnsi="宋体" w:eastAsia="仿宋_GB2312"/>
          <w:szCs w:val="21"/>
        </w:rPr>
      </w:pPr>
      <w:r>
        <w:rPr>
          <w:rFonts w:hint="eastAsia" w:ascii="仿宋_GB2312" w:hAnsi="宋体" w:eastAsia="仿宋_GB2312" w:cs="Arial"/>
          <w:szCs w:val="21"/>
        </w:rPr>
        <w:t>17.6政府采购合同的其它附件。</w:t>
      </w:r>
    </w:p>
    <w:p>
      <w:pPr>
        <w:ind w:firstLine="470" w:firstLineChars="196"/>
        <w:rPr>
          <w:rFonts w:ascii="仿宋_GB2312" w:hAnsi="宋体" w:eastAsia="仿宋_GB2312"/>
          <w:sz w:val="24"/>
        </w:rPr>
      </w:pPr>
    </w:p>
    <w:p>
      <w:pPr>
        <w:ind w:firstLine="470" w:firstLineChars="196"/>
        <w:rPr>
          <w:rFonts w:ascii="仿宋_GB2312" w:hAnsi="宋体" w:eastAsia="仿宋_GB2312"/>
          <w:sz w:val="24"/>
        </w:rPr>
      </w:pPr>
    </w:p>
    <w:p>
      <w:pPr>
        <w:rPr>
          <w:rFonts w:ascii="仿宋_GB2312" w:hAnsi="宋体" w:eastAsia="仿宋_GB2312"/>
          <w:sz w:val="24"/>
        </w:rPr>
      </w:pPr>
      <w:r>
        <w:rPr>
          <w:rFonts w:ascii="仿宋_GB2312" w:hAnsi="宋体" w:eastAsia="仿宋_GB2312"/>
          <w:sz w:val="24"/>
        </w:rPr>
        <w:br w:type="page"/>
      </w:r>
    </w:p>
    <w:p>
      <w:pPr>
        <w:pStyle w:val="3"/>
        <w:adjustRightInd w:val="0"/>
        <w:snapToGrid w:val="0"/>
        <w:spacing w:line="240" w:lineRule="auto"/>
        <w:jc w:val="left"/>
        <w:rPr>
          <w:rFonts w:ascii="仿宋_GB2312" w:hAnsi="宋体" w:eastAsia="仿宋_GB2312"/>
          <w:sz w:val="21"/>
          <w:szCs w:val="21"/>
        </w:rPr>
      </w:pPr>
      <w:bookmarkStart w:id="188" w:name="_Toc7342_WPSOffice_Level1"/>
      <w:bookmarkStart w:id="189" w:name="_Toc3044_WPSOffice_Level1"/>
      <w:bookmarkStart w:id="190" w:name="_Toc372_WPSOffice_Level1"/>
      <w:r>
        <w:rPr>
          <w:rFonts w:hint="eastAsia" w:ascii="仿宋_GB2312" w:hAnsi="仿宋_GB2312" w:eastAsia="仿宋_GB2312" w:cs="仿宋_GB2312"/>
          <w:szCs w:val="28"/>
        </w:rPr>
        <w:t>合同格式</w:t>
      </w:r>
      <w:bookmarkEnd w:id="188"/>
      <w:bookmarkEnd w:id="189"/>
      <w:bookmarkEnd w:id="190"/>
    </w:p>
    <w:p>
      <w:pPr>
        <w:spacing w:before="319" w:beforeLines="100" w:after="319" w:afterLines="100" w:line="360" w:lineRule="auto"/>
        <w:jc w:val="center"/>
        <w:rPr>
          <w:rFonts w:ascii="宋体"/>
          <w:b/>
          <w:sz w:val="36"/>
          <w:szCs w:val="36"/>
        </w:rPr>
      </w:pPr>
      <w:r>
        <w:rPr>
          <w:rFonts w:hint="eastAsia" w:ascii="宋体" w:hAnsi="宋体"/>
          <w:b/>
          <w:sz w:val="36"/>
          <w:szCs w:val="36"/>
        </w:rPr>
        <w:t>政府采购合同格式</w:t>
      </w:r>
    </w:p>
    <w:p>
      <w:pPr>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政府采购合同编号：</w:t>
      </w:r>
    </w:p>
    <w:p>
      <w:pPr>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签订地点：</w:t>
      </w:r>
    </w:p>
    <w:p>
      <w:pPr>
        <w:spacing w:line="360" w:lineRule="auto"/>
        <w:ind w:firstLine="640"/>
        <w:jc w:val="left"/>
        <w:rPr>
          <w:rFonts w:ascii="仿宋_GB2312" w:hAnsi="宋体" w:eastAsia="仿宋_GB2312"/>
          <w:szCs w:val="21"/>
        </w:rPr>
      </w:pPr>
      <w:r>
        <w:rPr>
          <w:rFonts w:hint="eastAsia" w:ascii="仿宋_GB2312" w:hAnsi="宋体" w:eastAsia="仿宋_GB2312"/>
          <w:szCs w:val="21"/>
          <w:u w:val="single"/>
        </w:rPr>
        <w:t xml:space="preserve">    (需方名称</w:t>
      </w:r>
      <w:r>
        <w:rPr>
          <w:rFonts w:hint="eastAsia" w:ascii="仿宋_GB2312" w:hAnsi="宋体" w:eastAsia="仿宋_GB2312"/>
          <w:szCs w:val="21"/>
        </w:rPr>
        <w:t>)</w:t>
      </w:r>
      <w:r>
        <w:rPr>
          <w:rFonts w:hint="eastAsia" w:ascii="仿宋_GB2312" w:hAnsi="宋体" w:eastAsia="仿宋_GB2312"/>
          <w:szCs w:val="21"/>
          <w:u w:val="single"/>
        </w:rPr>
        <w:t xml:space="preserve">            </w:t>
      </w:r>
      <w:r>
        <w:rPr>
          <w:rFonts w:hint="eastAsia" w:ascii="仿宋_GB2312" w:hAnsi="宋体" w:eastAsia="仿宋_GB2312"/>
          <w:szCs w:val="21"/>
        </w:rPr>
        <w:t xml:space="preserve"> （以下简称需方）和</w:t>
      </w:r>
      <w:r>
        <w:rPr>
          <w:rFonts w:hint="eastAsia" w:ascii="仿宋_GB2312" w:hAnsi="宋体" w:eastAsia="仿宋_GB2312"/>
          <w:szCs w:val="21"/>
          <w:u w:val="single"/>
        </w:rPr>
        <w:t xml:space="preserve">   (供方名称)    </w:t>
      </w:r>
      <w:r>
        <w:rPr>
          <w:rFonts w:hint="eastAsia" w:ascii="仿宋_GB2312" w:hAnsi="宋体" w:eastAsia="仿宋_GB2312"/>
          <w:szCs w:val="21"/>
        </w:rPr>
        <w:t xml:space="preserve"> （以下简称供方）根据《中华人民共和国合同法》和有关法律法规，遵循平等、自愿、公平和诚实信用原则，同意按照下面的条款和条件订立本政府采购合同，共同信守。</w:t>
      </w:r>
    </w:p>
    <w:p>
      <w:pPr>
        <w:spacing w:line="360" w:lineRule="auto"/>
        <w:jc w:val="left"/>
        <w:rPr>
          <w:rFonts w:ascii="黑体" w:hAnsi="宋体" w:eastAsia="黑体"/>
          <w:b/>
          <w:szCs w:val="21"/>
        </w:rPr>
      </w:pPr>
      <w:r>
        <w:rPr>
          <w:rFonts w:hint="eastAsia" w:ascii="黑体" w:hAnsi="宋体" w:eastAsia="黑体"/>
          <w:b/>
          <w:szCs w:val="21"/>
        </w:rPr>
        <w:t>　　一、政府采购合同文件</w:t>
      </w:r>
    </w:p>
    <w:p>
      <w:pPr>
        <w:spacing w:line="360" w:lineRule="auto"/>
        <w:jc w:val="left"/>
        <w:rPr>
          <w:rFonts w:ascii="仿宋_GB2312" w:hAnsi="宋体" w:eastAsia="仿宋_GB2312"/>
          <w:szCs w:val="21"/>
        </w:rPr>
      </w:pPr>
      <w:r>
        <w:rPr>
          <w:rFonts w:hint="eastAsia" w:ascii="仿宋_GB2312" w:hAnsi="宋体" w:eastAsia="仿宋_GB2312"/>
          <w:szCs w:val="21"/>
        </w:rPr>
        <w:t xml:space="preserve">    本政府采购合同所附下列文件是构成本政府采购合同不可分割的部分：</w:t>
      </w:r>
    </w:p>
    <w:p>
      <w:pPr>
        <w:spacing w:line="360" w:lineRule="auto"/>
        <w:ind w:firstLine="420" w:firstLineChars="200"/>
        <w:jc w:val="left"/>
        <w:rPr>
          <w:rFonts w:ascii="仿宋_GB2312" w:hAnsi="宋体" w:eastAsia="仿宋_GB2312"/>
          <w:szCs w:val="21"/>
        </w:rPr>
      </w:pPr>
      <w:r>
        <w:rPr>
          <w:rFonts w:hint="eastAsia" w:ascii="黑体" w:hAnsi="宋体" w:eastAsia="黑体"/>
          <w:szCs w:val="21"/>
        </w:rPr>
        <w:t>1.</w:t>
      </w:r>
      <w:r>
        <w:rPr>
          <w:rFonts w:hint="eastAsia" w:ascii="仿宋_GB2312" w:hAnsi="宋体" w:eastAsia="仿宋_GB2312"/>
          <w:szCs w:val="21"/>
        </w:rPr>
        <w:t>招标文件（招标文件编号</w:t>
      </w:r>
      <w:r>
        <w:rPr>
          <w:rFonts w:hint="eastAsia" w:ascii="仿宋_GB2312" w:hAnsi="宋体" w:eastAsia="仿宋_GB2312"/>
          <w:szCs w:val="21"/>
          <w:u w:val="single"/>
        </w:rPr>
        <w:t xml:space="preserve">           </w:t>
      </w:r>
      <w:r>
        <w:rPr>
          <w:rFonts w:hint="eastAsia" w:ascii="仿宋_GB2312" w:hAnsi="宋体" w:eastAsia="仿宋_GB2312"/>
          <w:szCs w:val="21"/>
        </w:rPr>
        <w:t>）；</w:t>
      </w:r>
    </w:p>
    <w:p>
      <w:pPr>
        <w:spacing w:line="360" w:lineRule="auto"/>
        <w:ind w:firstLine="420" w:firstLineChars="200"/>
        <w:jc w:val="left"/>
        <w:rPr>
          <w:rFonts w:ascii="仿宋_GB2312" w:hAnsi="宋体" w:eastAsia="仿宋_GB2312" w:cs="Arial"/>
          <w:szCs w:val="21"/>
        </w:rPr>
      </w:pPr>
      <w:r>
        <w:rPr>
          <w:rFonts w:hint="eastAsia" w:ascii="黑体" w:hAnsi="宋体" w:eastAsia="黑体"/>
          <w:szCs w:val="21"/>
        </w:rPr>
        <w:t>2.</w:t>
      </w:r>
      <w:r>
        <w:rPr>
          <w:rFonts w:hint="eastAsia" w:ascii="仿宋_GB2312" w:hAnsi="宋体" w:eastAsia="仿宋_GB2312" w:cs="Arial"/>
          <w:szCs w:val="21"/>
        </w:rPr>
        <w:t>招标文件的更正公告、变更公告；</w:t>
      </w:r>
    </w:p>
    <w:p>
      <w:pPr>
        <w:spacing w:line="360" w:lineRule="auto"/>
        <w:ind w:firstLine="420" w:firstLineChars="200"/>
        <w:jc w:val="left"/>
        <w:rPr>
          <w:rFonts w:ascii="仿宋_GB2312" w:hAnsi="宋体" w:eastAsia="仿宋_GB2312"/>
          <w:szCs w:val="21"/>
        </w:rPr>
      </w:pPr>
      <w:r>
        <w:rPr>
          <w:rFonts w:hint="eastAsia" w:ascii="黑体" w:hAnsi="宋体" w:eastAsia="黑体"/>
          <w:szCs w:val="21"/>
        </w:rPr>
        <w:t>3.</w:t>
      </w:r>
      <w:r>
        <w:rPr>
          <w:rFonts w:hint="eastAsia" w:ascii="仿宋_GB2312" w:hAnsi="宋体" w:eastAsia="仿宋_GB2312"/>
          <w:szCs w:val="21"/>
        </w:rPr>
        <w:t>中标供应商提交的投标文件；</w:t>
      </w:r>
    </w:p>
    <w:p>
      <w:pPr>
        <w:spacing w:line="360" w:lineRule="auto"/>
        <w:ind w:firstLine="420" w:firstLineChars="200"/>
        <w:jc w:val="left"/>
        <w:rPr>
          <w:rFonts w:ascii="仿宋_GB2312" w:hAnsi="宋体" w:eastAsia="仿宋_GB2312"/>
          <w:szCs w:val="21"/>
        </w:rPr>
      </w:pPr>
      <w:r>
        <w:rPr>
          <w:rFonts w:hint="eastAsia" w:ascii="黑体" w:hAnsi="宋体" w:eastAsia="黑体"/>
          <w:szCs w:val="21"/>
        </w:rPr>
        <w:t>4.</w:t>
      </w:r>
      <w:r>
        <w:rPr>
          <w:rFonts w:hint="eastAsia" w:ascii="仿宋_GB2312" w:hAnsi="宋体" w:eastAsia="仿宋_GB2312"/>
          <w:szCs w:val="21"/>
        </w:rPr>
        <w:t>政府采购合同条款；</w:t>
      </w:r>
    </w:p>
    <w:p>
      <w:pPr>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5</w:t>
      </w:r>
      <w:r>
        <w:rPr>
          <w:rFonts w:hint="eastAsia" w:ascii="黑体" w:hAnsi="宋体" w:eastAsia="黑体"/>
          <w:szCs w:val="21"/>
        </w:rPr>
        <w:t>.</w:t>
      </w:r>
      <w:r>
        <w:rPr>
          <w:rFonts w:hint="eastAsia" w:ascii="仿宋_GB2312" w:hAnsi="宋体" w:eastAsia="仿宋_GB2312"/>
          <w:szCs w:val="21"/>
        </w:rPr>
        <w:t>中标通知书；</w:t>
      </w:r>
    </w:p>
    <w:p>
      <w:pPr>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6</w:t>
      </w:r>
      <w:r>
        <w:rPr>
          <w:rFonts w:hint="eastAsia" w:ascii="黑体" w:hAnsi="宋体" w:eastAsia="黑体"/>
          <w:szCs w:val="21"/>
        </w:rPr>
        <w:t>.</w:t>
      </w:r>
      <w:r>
        <w:rPr>
          <w:rFonts w:hint="eastAsia" w:ascii="仿宋_GB2312" w:hAnsi="宋体" w:eastAsia="仿宋_GB2312" w:cs="Arial"/>
          <w:szCs w:val="21"/>
        </w:rPr>
        <w:t>政府采购合同的其它附件。</w:t>
      </w:r>
    </w:p>
    <w:p>
      <w:pPr>
        <w:spacing w:line="360" w:lineRule="auto"/>
        <w:jc w:val="left"/>
        <w:rPr>
          <w:rFonts w:ascii="黑体" w:hAnsi="宋体" w:eastAsia="黑体"/>
          <w:b/>
          <w:szCs w:val="21"/>
        </w:rPr>
      </w:pPr>
      <w:r>
        <w:rPr>
          <w:rFonts w:hint="eastAsia" w:ascii="黑体" w:hAnsi="宋体" w:eastAsia="黑体"/>
          <w:b/>
          <w:szCs w:val="21"/>
        </w:rPr>
        <w:t>　　二、政府采购合同范围和条件</w:t>
      </w:r>
    </w:p>
    <w:p>
      <w:pPr>
        <w:spacing w:line="360" w:lineRule="auto"/>
        <w:jc w:val="left"/>
        <w:rPr>
          <w:rFonts w:ascii="仿宋_GB2312" w:hAnsi="宋体" w:eastAsia="仿宋_GB2312"/>
          <w:szCs w:val="21"/>
        </w:rPr>
      </w:pPr>
      <w:r>
        <w:rPr>
          <w:rFonts w:hint="eastAsia" w:ascii="仿宋_GB2312" w:hAnsi="宋体" w:eastAsia="仿宋_GB2312"/>
          <w:szCs w:val="21"/>
        </w:rPr>
        <w:t xml:space="preserve">    本政府采购合同的范围和条件与上述政府采购合同文件的规定相一致。</w:t>
      </w:r>
    </w:p>
    <w:p>
      <w:pPr>
        <w:spacing w:line="360" w:lineRule="auto"/>
        <w:jc w:val="left"/>
        <w:rPr>
          <w:rFonts w:ascii="黑体" w:hAnsi="宋体" w:eastAsia="黑体"/>
          <w:b/>
          <w:szCs w:val="21"/>
        </w:rPr>
      </w:pPr>
      <w:r>
        <w:rPr>
          <w:rFonts w:hint="eastAsia" w:ascii="黑体" w:hAnsi="宋体" w:eastAsia="黑体"/>
          <w:b/>
          <w:szCs w:val="21"/>
        </w:rPr>
        <w:t>　　三、政府采购合同标的</w:t>
      </w:r>
    </w:p>
    <w:p>
      <w:pPr>
        <w:spacing w:line="360" w:lineRule="auto"/>
        <w:jc w:val="left"/>
        <w:rPr>
          <w:rFonts w:ascii="仿宋_GB2312" w:hAnsi="宋体" w:eastAsia="仿宋_GB2312"/>
          <w:szCs w:val="21"/>
        </w:rPr>
      </w:pPr>
      <w:r>
        <w:rPr>
          <w:rFonts w:hint="eastAsia" w:ascii="仿宋_GB2312" w:hAnsi="宋体" w:eastAsia="仿宋_GB2312"/>
          <w:szCs w:val="21"/>
        </w:rPr>
        <w:t xml:space="preserve">    </w:t>
      </w:r>
      <w:r>
        <w:rPr>
          <w:rFonts w:hint="eastAsia" w:ascii="仿宋_GB2312" w:hAnsi="仿宋_GB2312" w:eastAsia="仿宋_GB2312" w:cs="仿宋_GB2312"/>
          <w:szCs w:val="21"/>
        </w:rPr>
        <w:t>本政府采购合同的标的为招标文件中所列相关服务。</w:t>
      </w:r>
      <w:r>
        <w:rPr>
          <w:rFonts w:hint="eastAsia" w:ascii="仿宋_GB2312" w:hAnsi="宋体" w:eastAsia="仿宋_GB2312"/>
          <w:szCs w:val="21"/>
        </w:rPr>
        <w:t>。</w:t>
      </w:r>
    </w:p>
    <w:p>
      <w:pPr>
        <w:spacing w:line="360" w:lineRule="auto"/>
        <w:jc w:val="left"/>
        <w:rPr>
          <w:rFonts w:ascii="黑体" w:hAnsi="宋体" w:eastAsia="黑体"/>
          <w:b/>
          <w:szCs w:val="21"/>
        </w:rPr>
      </w:pPr>
      <w:r>
        <w:rPr>
          <w:rFonts w:hint="eastAsia" w:ascii="黑体" w:hAnsi="宋体" w:eastAsia="黑体"/>
          <w:b/>
          <w:szCs w:val="21"/>
        </w:rPr>
        <w:t>　　四、政府采购合同金额</w:t>
      </w:r>
    </w:p>
    <w:p>
      <w:pPr>
        <w:spacing w:line="360" w:lineRule="auto"/>
        <w:jc w:val="left"/>
        <w:rPr>
          <w:rFonts w:ascii="仿宋_GB2312" w:hAnsi="宋体" w:eastAsia="仿宋_GB2312"/>
          <w:szCs w:val="21"/>
        </w:rPr>
      </w:pPr>
      <w:r>
        <w:rPr>
          <w:rFonts w:hint="eastAsia" w:ascii="仿宋_GB2312" w:hAnsi="宋体" w:eastAsia="仿宋_GB2312"/>
          <w:szCs w:val="21"/>
        </w:rPr>
        <w:t xml:space="preserve">    根据上述政府采购合同文件要求，政府采购合同的总金额为人民币</w:t>
      </w:r>
      <w:r>
        <w:rPr>
          <w:rFonts w:hint="eastAsia" w:ascii="仿宋_GB2312" w:hAnsi="宋体" w:eastAsia="仿宋_GB2312"/>
          <w:szCs w:val="21"/>
          <w:u w:val="single"/>
        </w:rPr>
        <w:t xml:space="preserve">  （大写）                </w:t>
      </w:r>
      <w:r>
        <w:rPr>
          <w:rFonts w:hint="eastAsia" w:ascii="仿宋_GB2312" w:hAnsi="宋体" w:eastAsia="仿宋_GB2312"/>
          <w:szCs w:val="21"/>
        </w:rPr>
        <w:t xml:space="preserve"> 元。</w:t>
      </w:r>
    </w:p>
    <w:p>
      <w:pPr>
        <w:spacing w:line="360" w:lineRule="auto"/>
        <w:jc w:val="left"/>
        <w:rPr>
          <w:rFonts w:ascii="黑体" w:hAnsi="宋体" w:eastAsia="黑体"/>
          <w:b/>
          <w:szCs w:val="21"/>
        </w:rPr>
      </w:pPr>
      <w:r>
        <w:rPr>
          <w:rFonts w:hint="eastAsia" w:ascii="黑体" w:hAnsi="宋体" w:eastAsia="黑体"/>
          <w:b/>
          <w:szCs w:val="21"/>
        </w:rPr>
        <w:t>　  五、付款方式及条件</w:t>
      </w:r>
    </w:p>
    <w:p>
      <w:pPr>
        <w:spacing w:line="360" w:lineRule="auto"/>
        <w:jc w:val="left"/>
        <w:rPr>
          <w:rFonts w:hint="eastAsia" w:ascii="黑体" w:hAnsi="宋体" w:eastAsia="黑体"/>
          <w:b/>
          <w:szCs w:val="21"/>
        </w:rPr>
      </w:pPr>
    </w:p>
    <w:p>
      <w:pPr>
        <w:spacing w:line="360" w:lineRule="auto"/>
        <w:jc w:val="left"/>
        <w:rPr>
          <w:rFonts w:ascii="仿宋_GB2312" w:hAnsi="宋体" w:eastAsia="仿宋_GB2312"/>
          <w:szCs w:val="21"/>
        </w:rPr>
      </w:pPr>
      <w:r>
        <w:rPr>
          <w:rFonts w:hint="eastAsia" w:ascii="黑体" w:hAnsi="宋体" w:eastAsia="黑体"/>
          <w:b/>
          <w:szCs w:val="21"/>
        </w:rPr>
        <w:t>　　六、服务时间和服务地点</w:t>
      </w:r>
      <w:r>
        <w:rPr>
          <w:rFonts w:hint="eastAsia" w:ascii="仿宋_GB2312" w:hAnsi="宋体" w:eastAsia="仿宋_GB2312"/>
          <w:szCs w:val="21"/>
        </w:rPr>
        <w:t xml:space="preserve">   </w:t>
      </w:r>
    </w:p>
    <w:p>
      <w:pPr>
        <w:spacing w:line="360" w:lineRule="auto"/>
        <w:jc w:val="left"/>
        <w:rPr>
          <w:rFonts w:ascii="仿宋_GB2312" w:hAnsi="宋体" w:eastAsia="仿宋_GB2312"/>
          <w:szCs w:val="21"/>
          <w:u w:val="single"/>
        </w:rPr>
      </w:pPr>
      <w:r>
        <w:rPr>
          <w:rFonts w:hint="eastAsia" w:ascii="仿宋_GB2312" w:hAnsi="宋体" w:eastAsia="仿宋_GB2312"/>
          <w:szCs w:val="21"/>
        </w:rPr>
        <w:t xml:space="preserve">    1.服务时间：</w:t>
      </w:r>
      <w:r>
        <w:rPr>
          <w:rFonts w:hint="eastAsia" w:ascii="仿宋_GB2312" w:hAnsi="宋体" w:eastAsia="仿宋_GB2312"/>
          <w:szCs w:val="21"/>
          <w:u w:val="single"/>
        </w:rPr>
        <w:t xml:space="preserve">        </w:t>
      </w:r>
    </w:p>
    <w:p>
      <w:pPr>
        <w:spacing w:line="360" w:lineRule="auto"/>
        <w:jc w:val="left"/>
        <w:rPr>
          <w:rFonts w:ascii="仿宋_GB2312" w:hAnsi="宋体" w:eastAsia="仿宋_GB2312"/>
          <w:szCs w:val="21"/>
          <w:u w:val="single"/>
        </w:rPr>
      </w:pPr>
      <w:r>
        <w:rPr>
          <w:rFonts w:hint="eastAsia" w:ascii="仿宋_GB2312" w:hAnsi="宋体" w:eastAsia="仿宋_GB2312"/>
          <w:szCs w:val="21"/>
        </w:rPr>
        <w:t xml:space="preserve">    2.服务地点：</w:t>
      </w:r>
      <w:r>
        <w:rPr>
          <w:rFonts w:hint="eastAsia" w:ascii="仿宋_GB2312" w:hAnsi="宋体" w:eastAsia="仿宋_GB2312"/>
          <w:szCs w:val="21"/>
          <w:u w:val="single"/>
        </w:rPr>
        <w:t xml:space="preserve">        </w:t>
      </w:r>
    </w:p>
    <w:p>
      <w:pPr>
        <w:spacing w:line="360" w:lineRule="auto"/>
        <w:jc w:val="left"/>
        <w:rPr>
          <w:rFonts w:ascii="黑体" w:hAnsi="宋体" w:eastAsia="黑体"/>
          <w:b/>
          <w:szCs w:val="21"/>
        </w:rPr>
      </w:pPr>
      <w:r>
        <w:rPr>
          <w:rFonts w:hint="eastAsia" w:ascii="黑体" w:hAnsi="宋体" w:eastAsia="黑体"/>
          <w:b/>
          <w:szCs w:val="21"/>
        </w:rPr>
        <w:t>　　七、验收要求</w:t>
      </w:r>
    </w:p>
    <w:p>
      <w:pPr>
        <w:spacing w:line="360" w:lineRule="auto"/>
        <w:jc w:val="left"/>
        <w:rPr>
          <w:rFonts w:ascii="仿宋_GB2312" w:hAnsi="宋体" w:eastAsia="仿宋_GB2312"/>
          <w:szCs w:val="21"/>
          <w:u w:val="single"/>
        </w:rPr>
      </w:pPr>
      <w:r>
        <w:rPr>
          <w:rFonts w:hint="eastAsia" w:ascii="黑体" w:hAnsi="宋体" w:eastAsia="黑体"/>
          <w:b/>
          <w:szCs w:val="21"/>
        </w:rPr>
        <w:t xml:space="preserve">    </w:t>
      </w:r>
      <w:r>
        <w:rPr>
          <w:rFonts w:hint="eastAsia" w:ascii="仿宋_GB2312" w:hAnsi="宋体" w:eastAsia="仿宋_GB2312"/>
          <w:szCs w:val="21"/>
        </w:rPr>
        <w:t>供方完全履行合同义务后，需方或需方的最终用户按照上述政府采购合同文件列明的标准进行验收，验收不合格的，供方需按照第八条的约定承担相应违约责任。</w:t>
      </w:r>
    </w:p>
    <w:p>
      <w:pPr>
        <w:spacing w:line="360" w:lineRule="auto"/>
        <w:jc w:val="left"/>
        <w:rPr>
          <w:rFonts w:ascii="黑体" w:hAnsi="宋体" w:eastAsia="黑体"/>
          <w:b/>
          <w:szCs w:val="21"/>
        </w:rPr>
      </w:pPr>
      <w:r>
        <w:rPr>
          <w:rFonts w:hint="eastAsia" w:ascii="黑体" w:hAnsi="宋体" w:eastAsia="黑体"/>
          <w:b/>
          <w:szCs w:val="21"/>
        </w:rPr>
        <w:t xml:space="preserve">    八、违约责任</w:t>
      </w:r>
    </w:p>
    <w:p>
      <w:pPr>
        <w:spacing w:line="360" w:lineRule="auto"/>
        <w:jc w:val="left"/>
        <w:rPr>
          <w:rFonts w:ascii="仿宋_GB2312" w:hAnsi="宋体" w:eastAsia="仿宋_GB2312"/>
          <w:szCs w:val="21"/>
        </w:rPr>
      </w:pPr>
      <w:r>
        <w:rPr>
          <w:rFonts w:hint="eastAsia" w:ascii="仿宋_GB2312" w:hAnsi="宋体" w:eastAsia="仿宋_GB2312"/>
          <w:szCs w:val="21"/>
        </w:rPr>
        <w:t xml:space="preserve">    1.供方逾期提供服务的，每逾期一天向需方支付合同金额</w:t>
      </w:r>
      <w:r>
        <w:rPr>
          <w:rFonts w:hint="eastAsia" w:ascii="仿宋_GB2312" w:hAnsi="宋体" w:eastAsia="仿宋_GB2312"/>
          <w:szCs w:val="21"/>
          <w:u w:val="single"/>
        </w:rPr>
        <w:t xml:space="preserve">  </w:t>
      </w:r>
      <w:r>
        <w:rPr>
          <w:rFonts w:hint="eastAsia" w:ascii="仿宋_GB2312" w:hAnsi="宋体" w:eastAsia="仿宋_GB2312"/>
          <w:szCs w:val="21"/>
        </w:rPr>
        <w:t>%的违约金，逾期</w:t>
      </w:r>
      <w:r>
        <w:rPr>
          <w:rFonts w:hint="eastAsia" w:ascii="仿宋_GB2312" w:hAnsi="宋体" w:eastAsia="仿宋_GB2312"/>
          <w:szCs w:val="21"/>
          <w:u w:val="single"/>
        </w:rPr>
        <w:t xml:space="preserve">  </w:t>
      </w:r>
      <w:r>
        <w:rPr>
          <w:rFonts w:hint="eastAsia" w:ascii="仿宋_GB2312" w:hAnsi="宋体" w:eastAsia="仿宋_GB2312"/>
          <w:szCs w:val="21"/>
        </w:rPr>
        <w:t>日的，需方有权单方面解除本协议。</w:t>
      </w:r>
    </w:p>
    <w:p>
      <w:pPr>
        <w:spacing w:line="360" w:lineRule="auto"/>
        <w:jc w:val="left"/>
        <w:rPr>
          <w:rFonts w:ascii="仿宋_GB2312" w:hAnsi="宋体" w:eastAsia="仿宋_GB2312"/>
          <w:szCs w:val="21"/>
        </w:rPr>
      </w:pPr>
      <w:r>
        <w:rPr>
          <w:rFonts w:hint="eastAsia" w:ascii="仿宋_GB2312" w:hAnsi="宋体" w:eastAsia="仿宋_GB2312"/>
          <w:szCs w:val="21"/>
        </w:rPr>
        <w:t xml:space="preserve">    2.供方提供的服务不符合约定的，需方有权向供方书面提出整改意见，供方需无条件整改至符合约定，自需方向供方提出书面意见之日起</w:t>
      </w:r>
      <w:r>
        <w:rPr>
          <w:rFonts w:hint="eastAsia" w:ascii="仿宋_GB2312" w:hAnsi="宋体" w:eastAsia="仿宋_GB2312"/>
          <w:szCs w:val="21"/>
          <w:u w:val="single"/>
        </w:rPr>
        <w:t xml:space="preserve">  </w:t>
      </w:r>
      <w:r>
        <w:rPr>
          <w:rFonts w:hint="eastAsia" w:ascii="仿宋_GB2312" w:hAnsi="宋体" w:eastAsia="仿宋_GB2312"/>
          <w:szCs w:val="21"/>
        </w:rPr>
        <w:t>日内，供方仍未整改或整改后服务仍不符合约定的，需方有权单方面解除本协议。</w:t>
      </w:r>
    </w:p>
    <w:p>
      <w:pPr>
        <w:spacing w:line="360" w:lineRule="auto"/>
        <w:jc w:val="left"/>
        <w:rPr>
          <w:rFonts w:ascii="仿宋_GB2312" w:hAnsi="宋体" w:eastAsia="仿宋_GB2312"/>
          <w:szCs w:val="21"/>
        </w:rPr>
      </w:pPr>
      <w:r>
        <w:rPr>
          <w:rFonts w:hint="eastAsia" w:ascii="仿宋_GB2312" w:hAnsi="宋体" w:eastAsia="仿宋_GB2312"/>
          <w:szCs w:val="21"/>
        </w:rPr>
        <w:t xml:space="preserve">    3.需方逾期付款的，每逾期一天向供方支付逾期金额</w:t>
      </w:r>
      <w:r>
        <w:rPr>
          <w:rFonts w:hint="eastAsia" w:ascii="仿宋_GB2312" w:hAnsi="宋体" w:eastAsia="仿宋_GB2312"/>
          <w:szCs w:val="21"/>
          <w:u w:val="single"/>
        </w:rPr>
        <w:t xml:space="preserve">  </w:t>
      </w:r>
      <w:r>
        <w:rPr>
          <w:rFonts w:hint="eastAsia" w:ascii="仿宋_GB2312" w:hAnsi="宋体" w:eastAsia="仿宋_GB2312"/>
          <w:szCs w:val="21"/>
        </w:rPr>
        <w:t>%的违约金，逾期</w:t>
      </w:r>
      <w:r>
        <w:rPr>
          <w:rFonts w:hint="eastAsia" w:ascii="仿宋_GB2312" w:hAnsi="宋体" w:eastAsia="仿宋_GB2312"/>
          <w:szCs w:val="21"/>
          <w:u w:val="single"/>
        </w:rPr>
        <w:t xml:space="preserve">  </w:t>
      </w:r>
      <w:r>
        <w:rPr>
          <w:rFonts w:hint="eastAsia" w:ascii="仿宋_GB2312" w:hAnsi="宋体" w:eastAsia="仿宋_GB2312"/>
          <w:szCs w:val="21"/>
        </w:rPr>
        <w:t>日的，供方有权单方面解除本协议。</w:t>
      </w:r>
    </w:p>
    <w:p>
      <w:pPr>
        <w:spacing w:line="360" w:lineRule="auto"/>
        <w:jc w:val="left"/>
        <w:rPr>
          <w:rFonts w:ascii="黑体" w:hAnsi="宋体" w:eastAsia="黑体"/>
          <w:b/>
          <w:szCs w:val="21"/>
        </w:rPr>
      </w:pPr>
      <w:r>
        <w:rPr>
          <w:rFonts w:hint="eastAsia" w:ascii="黑体" w:hAnsi="宋体" w:eastAsia="黑体"/>
          <w:b/>
          <w:szCs w:val="21"/>
        </w:rPr>
        <w:t xml:space="preserve">    九、争议解决</w:t>
      </w:r>
    </w:p>
    <w:p>
      <w:pPr>
        <w:spacing w:line="360" w:lineRule="auto"/>
        <w:jc w:val="left"/>
        <w:rPr>
          <w:rFonts w:ascii="仿宋_GB2312" w:hAnsi="宋体" w:eastAsia="仿宋_GB2312"/>
          <w:szCs w:val="21"/>
        </w:rPr>
      </w:pPr>
      <w:r>
        <w:rPr>
          <w:rFonts w:hint="eastAsia" w:ascii="仿宋_GB2312" w:hAnsi="宋体" w:eastAsia="仿宋_GB2312"/>
          <w:szCs w:val="21"/>
        </w:rPr>
        <w:t xml:space="preserve">    双方因履行本协议而产生的争议，应友好协商解决，协商不成的，任何一方可向需方所在地的人民法院提起诉讼。</w:t>
      </w:r>
    </w:p>
    <w:p>
      <w:pPr>
        <w:spacing w:line="360" w:lineRule="auto"/>
        <w:jc w:val="left"/>
        <w:rPr>
          <w:rFonts w:ascii="黑体" w:hAnsi="宋体" w:eastAsia="黑体"/>
          <w:b/>
          <w:szCs w:val="21"/>
        </w:rPr>
      </w:pPr>
      <w:r>
        <w:rPr>
          <w:rFonts w:hint="eastAsia" w:ascii="黑体" w:hAnsi="宋体" w:eastAsia="黑体"/>
          <w:b/>
          <w:szCs w:val="21"/>
        </w:rPr>
        <w:t xml:space="preserve">    十、合同生效</w:t>
      </w:r>
    </w:p>
    <w:p>
      <w:pPr>
        <w:spacing w:line="360" w:lineRule="auto"/>
        <w:jc w:val="left"/>
        <w:rPr>
          <w:rFonts w:ascii="仿宋_GB2312" w:hAnsi="宋体" w:eastAsia="仿宋_GB2312"/>
          <w:szCs w:val="21"/>
        </w:rPr>
      </w:pPr>
      <w:r>
        <w:rPr>
          <w:rFonts w:hint="eastAsia" w:ascii="仿宋_GB2312" w:hAnsi="宋体" w:eastAsia="仿宋_GB2312"/>
          <w:szCs w:val="21"/>
        </w:rPr>
        <w:t xml:space="preserve">    本政府采购合同经双方授权代表签字盖章后生效。</w:t>
      </w:r>
    </w:p>
    <w:p>
      <w:pPr>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需方（公章）:                       供方(公章):</w:t>
      </w:r>
    </w:p>
    <w:p>
      <w:pPr>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法定代表人或授权代表人(签字):       法定代表人或授权代表人(签字):</w:t>
      </w:r>
    </w:p>
    <w:p>
      <w:pPr>
        <w:spacing w:line="360" w:lineRule="auto"/>
        <w:ind w:firstLine="42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地址：</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 xml:space="preserve">      地址：</w:t>
      </w:r>
      <w:r>
        <w:rPr>
          <w:rFonts w:hint="eastAsia" w:ascii="仿宋_GB2312" w:hAnsi="Lucida Sans Unicode" w:eastAsia="仿宋_GB2312" w:cs="Lucida Sans Unicode"/>
          <w:szCs w:val="21"/>
          <w:u w:val="single"/>
        </w:rPr>
        <w:t xml:space="preserve">                          </w:t>
      </w:r>
    </w:p>
    <w:p>
      <w:pPr>
        <w:spacing w:line="360" w:lineRule="auto"/>
        <w:ind w:firstLine="420" w:firstLineChars="200"/>
        <w:rPr>
          <w:rFonts w:ascii="仿宋_GB2312" w:hAnsi="Lucida Sans Unicode" w:eastAsia="仿宋_GB2312" w:cs="Lucida Sans Unicode"/>
          <w:szCs w:val="21"/>
        </w:rPr>
      </w:pPr>
      <w:r>
        <w:rPr>
          <w:rFonts w:hint="eastAsia" w:ascii="仿宋_GB2312" w:hAnsi="Lucida Sans Unicode" w:eastAsia="仿宋_GB2312" w:cs="Lucida Sans Unicode"/>
          <w:szCs w:val="21"/>
        </w:rPr>
        <w:t>联系人：</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 xml:space="preserve">      联系人：</w:t>
      </w:r>
      <w:r>
        <w:rPr>
          <w:rFonts w:hint="eastAsia" w:ascii="仿宋_GB2312" w:hAnsi="Lucida Sans Unicode" w:eastAsia="仿宋_GB2312" w:cs="Lucida Sans Unicode"/>
          <w:szCs w:val="21"/>
          <w:u w:val="single"/>
        </w:rPr>
        <w:t xml:space="preserve">                        </w:t>
      </w:r>
    </w:p>
    <w:p>
      <w:pPr>
        <w:spacing w:line="360" w:lineRule="auto"/>
        <w:ind w:firstLine="42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电话：</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 xml:space="preserve">      电话：</w:t>
      </w:r>
      <w:r>
        <w:rPr>
          <w:rFonts w:hint="eastAsia" w:ascii="仿宋_GB2312" w:hAnsi="Lucida Sans Unicode" w:eastAsia="仿宋_GB2312" w:cs="Lucida Sans Unicode"/>
          <w:szCs w:val="21"/>
          <w:u w:val="single"/>
        </w:rPr>
        <w:t xml:space="preserve">                          </w:t>
      </w:r>
    </w:p>
    <w:p>
      <w:pPr>
        <w:spacing w:line="360" w:lineRule="auto"/>
        <w:ind w:firstLine="42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传真：</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 xml:space="preserve">      传真：</w:t>
      </w:r>
      <w:r>
        <w:rPr>
          <w:rFonts w:hint="eastAsia" w:ascii="仿宋_GB2312" w:hAnsi="Lucida Sans Unicode" w:eastAsia="仿宋_GB2312" w:cs="Lucida Sans Unicode"/>
          <w:szCs w:val="21"/>
          <w:u w:val="single"/>
        </w:rPr>
        <w:t xml:space="preserve">                          </w:t>
      </w:r>
    </w:p>
    <w:p>
      <w:pPr>
        <w:spacing w:line="360" w:lineRule="auto"/>
        <w:ind w:firstLine="42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邮编：</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 xml:space="preserve">      邮编：</w:t>
      </w:r>
      <w:r>
        <w:rPr>
          <w:rFonts w:hint="eastAsia" w:ascii="仿宋_GB2312" w:hAnsi="Lucida Sans Unicode" w:eastAsia="仿宋_GB2312" w:cs="Lucida Sans Unicode"/>
          <w:szCs w:val="21"/>
          <w:u w:val="single"/>
        </w:rPr>
        <w:t xml:space="preserve">                          </w:t>
      </w:r>
    </w:p>
    <w:p>
      <w:pPr>
        <w:spacing w:line="360" w:lineRule="auto"/>
        <w:ind w:firstLine="42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日期：</w:t>
      </w:r>
      <w:r>
        <w:rPr>
          <w:rFonts w:hint="eastAsia" w:ascii="仿宋_GB2312" w:hAnsi="Lucida Sans Unicode" w:eastAsia="仿宋_GB2312" w:cs="Lucida Sans Unicode"/>
          <w:szCs w:val="21"/>
          <w:u w:val="single"/>
        </w:rPr>
        <w:t xml:space="preserve">      年      月      日</w:t>
      </w:r>
      <w:r>
        <w:rPr>
          <w:rFonts w:hint="eastAsia" w:ascii="仿宋_GB2312" w:hAnsi="Lucida Sans Unicode" w:eastAsia="仿宋_GB2312" w:cs="Lucida Sans Unicode"/>
          <w:szCs w:val="21"/>
        </w:rPr>
        <w:t xml:space="preserve">      日期：</w:t>
      </w:r>
      <w:r>
        <w:rPr>
          <w:rFonts w:hint="eastAsia" w:ascii="仿宋_GB2312" w:hAnsi="Lucida Sans Unicode" w:eastAsia="仿宋_GB2312" w:cs="Lucida Sans Unicode"/>
          <w:szCs w:val="21"/>
          <w:u w:val="single"/>
        </w:rPr>
        <w:t xml:space="preserve">   </w:t>
      </w:r>
      <w:r>
        <w:rPr>
          <w:rFonts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u w:val="single"/>
        </w:rPr>
        <w:t xml:space="preserve">    年      月    </w:t>
      </w:r>
      <w:r>
        <w:rPr>
          <w:rFonts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u w:val="single"/>
        </w:rPr>
        <w:t xml:space="preserve"> 日</w:t>
      </w:r>
    </w:p>
    <w:p/>
    <w:p>
      <w:pPr>
        <w:adjustRightInd w:val="0"/>
        <w:snapToGrid w:val="0"/>
        <w:spacing w:line="360" w:lineRule="auto"/>
        <w:rPr>
          <w:rFonts w:ascii="仿宋_GB2312" w:hAnsi="仿宋_GB2312" w:eastAsia="仿宋_GB2312" w:cs="仿宋_GB2312"/>
          <w:szCs w:val="21"/>
          <w:u w:val="single"/>
        </w:rPr>
      </w:pPr>
    </w:p>
    <w:p>
      <w:pPr>
        <w:wordWrap w:val="0"/>
        <w:adjustRightInd w:val="0"/>
        <w:snapToGrid w:val="0"/>
        <w:spacing w:line="360" w:lineRule="auto"/>
        <w:jc w:val="right"/>
        <w:rPr>
          <w:rFonts w:ascii="仿宋_GB2312" w:hAnsi="仿宋_GB2312" w:eastAsia="仿宋_GB2312" w:cs="仿宋_GB2312"/>
          <w:szCs w:val="21"/>
        </w:rPr>
      </w:pPr>
    </w:p>
    <w:p>
      <w:pPr>
        <w:wordWrap w:val="0"/>
        <w:adjustRightInd w:val="0"/>
        <w:snapToGrid w:val="0"/>
        <w:spacing w:line="360" w:lineRule="auto"/>
        <w:jc w:val="right"/>
        <w:rPr>
          <w:rFonts w:ascii="仿宋_GB2312" w:hAnsi="仿宋_GB2312" w:eastAsia="仿宋_GB2312" w:cs="仿宋_GB2312"/>
          <w:szCs w:val="21"/>
        </w:rPr>
      </w:pPr>
    </w:p>
    <w:sectPr>
      <w:pgSz w:w="11906" w:h="16838"/>
      <w:pgMar w:top="1440" w:right="1803" w:bottom="1440" w:left="1803" w:header="851" w:footer="992" w:gutter="0"/>
      <w:cols w:space="72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7</w: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7800A4"/>
    <w:multiLevelType w:val="singleLevel"/>
    <w:tmpl w:val="8D7800A4"/>
    <w:lvl w:ilvl="0" w:tentative="0">
      <w:start w:val="1"/>
      <w:numFmt w:val="chineseCounting"/>
      <w:suff w:val="space"/>
      <w:lvlText w:val="第%1章"/>
      <w:lvlJc w:val="left"/>
      <w:rPr>
        <w:rFonts w:hint="eastAsia"/>
      </w:rPr>
    </w:lvl>
  </w:abstractNum>
  <w:abstractNum w:abstractNumId="1">
    <w:nsid w:val="B9A1E8D1"/>
    <w:multiLevelType w:val="singleLevel"/>
    <w:tmpl w:val="B9A1E8D1"/>
    <w:lvl w:ilvl="0" w:tentative="0">
      <w:start w:val="1"/>
      <w:numFmt w:val="decimal"/>
      <w:suff w:val="nothing"/>
      <w:lvlText w:val="（%1）"/>
      <w:lvlJc w:val="left"/>
    </w:lvl>
  </w:abstractNum>
  <w:abstractNum w:abstractNumId="2">
    <w:nsid w:val="E2420D4D"/>
    <w:multiLevelType w:val="singleLevel"/>
    <w:tmpl w:val="E2420D4D"/>
    <w:lvl w:ilvl="0" w:tentative="0">
      <w:start w:val="4"/>
      <w:numFmt w:val="decimal"/>
      <w:suff w:val="nothing"/>
      <w:lvlText w:val="%1、"/>
      <w:lvlJc w:val="left"/>
      <w:pPr>
        <w:ind w:left="210" w:firstLine="0"/>
      </w:pPr>
    </w:lvl>
  </w:abstractNum>
  <w:abstractNum w:abstractNumId="3">
    <w:nsid w:val="27E8E525"/>
    <w:multiLevelType w:val="singleLevel"/>
    <w:tmpl w:val="27E8E525"/>
    <w:lvl w:ilvl="0" w:tentative="0">
      <w:start w:val="1"/>
      <w:numFmt w:val="decimal"/>
      <w:suff w:val="nothing"/>
      <w:lvlText w:val="（%1）"/>
      <w:lvlJc w:val="left"/>
    </w:lvl>
  </w:abstractNum>
  <w:abstractNum w:abstractNumId="4">
    <w:nsid w:val="420C153B"/>
    <w:multiLevelType w:val="multilevel"/>
    <w:tmpl w:val="420C153B"/>
    <w:lvl w:ilvl="0" w:tentative="0">
      <w:start w:val="1"/>
      <w:numFmt w:val="decimal"/>
      <w:pStyle w:val="27"/>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52F7058B"/>
    <w:multiLevelType w:val="multilevel"/>
    <w:tmpl w:val="52F7058B"/>
    <w:lvl w:ilvl="0" w:tentative="0">
      <w:start w:val="1"/>
      <w:numFmt w:val="decimal"/>
      <w:lvlText w:val="%1."/>
      <w:lvlJc w:val="left"/>
      <w:pPr>
        <w:tabs>
          <w:tab w:val="left" w:pos="830"/>
        </w:tabs>
        <w:ind w:left="830" w:hanging="360"/>
      </w:pPr>
      <w:rPr>
        <w:rFonts w:hint="eastAsia" w:ascii="黑体" w:hAnsi="Times New Roman" w:eastAsia="黑体"/>
        <w:b/>
      </w:rPr>
    </w:lvl>
    <w:lvl w:ilvl="1" w:tentative="0">
      <w:start w:val="1"/>
      <w:numFmt w:val="lowerLetter"/>
      <w:lvlText w:val="%2)"/>
      <w:lvlJc w:val="left"/>
      <w:pPr>
        <w:tabs>
          <w:tab w:val="left" w:pos="1310"/>
        </w:tabs>
        <w:ind w:left="1310" w:hanging="420"/>
      </w:pPr>
    </w:lvl>
    <w:lvl w:ilvl="2" w:tentative="0">
      <w:start w:val="1"/>
      <w:numFmt w:val="lowerRoman"/>
      <w:lvlText w:val="%3."/>
      <w:lvlJc w:val="right"/>
      <w:pPr>
        <w:tabs>
          <w:tab w:val="left" w:pos="1730"/>
        </w:tabs>
        <w:ind w:left="1730" w:hanging="420"/>
      </w:pPr>
    </w:lvl>
    <w:lvl w:ilvl="3" w:tentative="0">
      <w:start w:val="1"/>
      <w:numFmt w:val="decimal"/>
      <w:lvlText w:val="%4."/>
      <w:lvlJc w:val="left"/>
      <w:pPr>
        <w:tabs>
          <w:tab w:val="left" w:pos="2150"/>
        </w:tabs>
        <w:ind w:left="2150" w:hanging="420"/>
      </w:pPr>
    </w:lvl>
    <w:lvl w:ilvl="4" w:tentative="0">
      <w:start w:val="1"/>
      <w:numFmt w:val="lowerLetter"/>
      <w:lvlText w:val="%5)"/>
      <w:lvlJc w:val="left"/>
      <w:pPr>
        <w:tabs>
          <w:tab w:val="left" w:pos="2570"/>
        </w:tabs>
        <w:ind w:left="2570" w:hanging="420"/>
      </w:pPr>
    </w:lvl>
    <w:lvl w:ilvl="5" w:tentative="0">
      <w:start w:val="1"/>
      <w:numFmt w:val="lowerRoman"/>
      <w:lvlText w:val="%6."/>
      <w:lvlJc w:val="right"/>
      <w:pPr>
        <w:tabs>
          <w:tab w:val="left" w:pos="2990"/>
        </w:tabs>
        <w:ind w:left="2990" w:hanging="420"/>
      </w:pPr>
    </w:lvl>
    <w:lvl w:ilvl="6" w:tentative="0">
      <w:start w:val="1"/>
      <w:numFmt w:val="decimal"/>
      <w:lvlText w:val="%7."/>
      <w:lvlJc w:val="left"/>
      <w:pPr>
        <w:tabs>
          <w:tab w:val="left" w:pos="3410"/>
        </w:tabs>
        <w:ind w:left="3410" w:hanging="420"/>
      </w:pPr>
    </w:lvl>
    <w:lvl w:ilvl="7" w:tentative="0">
      <w:start w:val="1"/>
      <w:numFmt w:val="lowerLetter"/>
      <w:lvlText w:val="%8)"/>
      <w:lvlJc w:val="left"/>
      <w:pPr>
        <w:tabs>
          <w:tab w:val="left" w:pos="3830"/>
        </w:tabs>
        <w:ind w:left="3830" w:hanging="420"/>
      </w:pPr>
    </w:lvl>
    <w:lvl w:ilvl="8" w:tentative="0">
      <w:start w:val="1"/>
      <w:numFmt w:val="lowerRoman"/>
      <w:lvlText w:val="%9."/>
      <w:lvlJc w:val="right"/>
      <w:pPr>
        <w:tabs>
          <w:tab w:val="left" w:pos="4250"/>
        </w:tabs>
        <w:ind w:left="4250" w:hanging="420"/>
      </w:pPr>
    </w:lvl>
  </w:abstractNum>
  <w:abstractNum w:abstractNumId="6">
    <w:nsid w:val="66F2F7C7"/>
    <w:multiLevelType w:val="singleLevel"/>
    <w:tmpl w:val="66F2F7C7"/>
    <w:lvl w:ilvl="0" w:tentative="0">
      <w:start w:val="2"/>
      <w:numFmt w:val="chineseCounting"/>
      <w:suff w:val="nothing"/>
      <w:lvlText w:val="（%1）"/>
      <w:lvlJc w:val="left"/>
      <w:rPr>
        <w:rFonts w:hint="eastAsia"/>
      </w:rPr>
    </w:lvl>
  </w:abstractNum>
  <w:num w:numId="1">
    <w:abstractNumId w:val="4"/>
  </w:num>
  <w:num w:numId="2">
    <w:abstractNumId w:val="2"/>
  </w:num>
  <w:num w:numId="3">
    <w:abstractNumId w:val="0"/>
  </w:num>
  <w:num w:numId="4">
    <w:abstractNumId w:val="1"/>
  </w:num>
  <w:num w:numId="5">
    <w:abstractNumId w:val="3"/>
  </w:num>
  <w:num w:numId="6">
    <w:abstractNumId w:val="6"/>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JlOTZkMDFjOWQ1ZTA2M2M4ZTRkMDgxMGQ1MmNiNDcifQ=="/>
  </w:docVars>
  <w:rsids>
    <w:rsidRoot w:val="35AB3B2B"/>
    <w:rsid w:val="000112BA"/>
    <w:rsid w:val="000214A6"/>
    <w:rsid w:val="000268C8"/>
    <w:rsid w:val="00031AC7"/>
    <w:rsid w:val="00063356"/>
    <w:rsid w:val="0007057C"/>
    <w:rsid w:val="00084E5A"/>
    <w:rsid w:val="00096E47"/>
    <w:rsid w:val="0009731D"/>
    <w:rsid w:val="000B13E4"/>
    <w:rsid w:val="000C0E37"/>
    <w:rsid w:val="000D1063"/>
    <w:rsid w:val="000E6314"/>
    <w:rsid w:val="000F5EC2"/>
    <w:rsid w:val="000F6EAA"/>
    <w:rsid w:val="001015DF"/>
    <w:rsid w:val="00110B2A"/>
    <w:rsid w:val="00117287"/>
    <w:rsid w:val="00124CB1"/>
    <w:rsid w:val="00130D7F"/>
    <w:rsid w:val="0013522F"/>
    <w:rsid w:val="001612AD"/>
    <w:rsid w:val="00167366"/>
    <w:rsid w:val="001706A3"/>
    <w:rsid w:val="00170858"/>
    <w:rsid w:val="0018626B"/>
    <w:rsid w:val="00186430"/>
    <w:rsid w:val="00193BD6"/>
    <w:rsid w:val="001966CB"/>
    <w:rsid w:val="001A161A"/>
    <w:rsid w:val="001C4AFB"/>
    <w:rsid w:val="001D014E"/>
    <w:rsid w:val="001D74B3"/>
    <w:rsid w:val="001E1515"/>
    <w:rsid w:val="001E311A"/>
    <w:rsid w:val="001E4641"/>
    <w:rsid w:val="001E710F"/>
    <w:rsid w:val="001F2569"/>
    <w:rsid w:val="001F33B0"/>
    <w:rsid w:val="00210A2E"/>
    <w:rsid w:val="00213645"/>
    <w:rsid w:val="00217642"/>
    <w:rsid w:val="0022058A"/>
    <w:rsid w:val="002251E4"/>
    <w:rsid w:val="002267F4"/>
    <w:rsid w:val="00234505"/>
    <w:rsid w:val="0025299C"/>
    <w:rsid w:val="00254496"/>
    <w:rsid w:val="002664FC"/>
    <w:rsid w:val="0026766D"/>
    <w:rsid w:val="002759FF"/>
    <w:rsid w:val="002804C9"/>
    <w:rsid w:val="00282DFB"/>
    <w:rsid w:val="002871E7"/>
    <w:rsid w:val="00293DE1"/>
    <w:rsid w:val="002B3C46"/>
    <w:rsid w:val="002E464C"/>
    <w:rsid w:val="002F1EE1"/>
    <w:rsid w:val="003074CB"/>
    <w:rsid w:val="00331217"/>
    <w:rsid w:val="00334518"/>
    <w:rsid w:val="00341F18"/>
    <w:rsid w:val="00346265"/>
    <w:rsid w:val="003574AB"/>
    <w:rsid w:val="00362F2A"/>
    <w:rsid w:val="00363498"/>
    <w:rsid w:val="003678C9"/>
    <w:rsid w:val="00382F03"/>
    <w:rsid w:val="0039123C"/>
    <w:rsid w:val="00392DF5"/>
    <w:rsid w:val="003F5979"/>
    <w:rsid w:val="00403FF0"/>
    <w:rsid w:val="0042651A"/>
    <w:rsid w:val="00440750"/>
    <w:rsid w:val="00453668"/>
    <w:rsid w:val="00462999"/>
    <w:rsid w:val="00465F3E"/>
    <w:rsid w:val="0047528E"/>
    <w:rsid w:val="0047717D"/>
    <w:rsid w:val="004B2F81"/>
    <w:rsid w:val="004E3769"/>
    <w:rsid w:val="004E7A5E"/>
    <w:rsid w:val="005063EE"/>
    <w:rsid w:val="00520503"/>
    <w:rsid w:val="00533D63"/>
    <w:rsid w:val="005378A0"/>
    <w:rsid w:val="00543C32"/>
    <w:rsid w:val="00543F74"/>
    <w:rsid w:val="0057540F"/>
    <w:rsid w:val="00580B35"/>
    <w:rsid w:val="00580D7E"/>
    <w:rsid w:val="00592BFE"/>
    <w:rsid w:val="00596273"/>
    <w:rsid w:val="005A112A"/>
    <w:rsid w:val="005B083C"/>
    <w:rsid w:val="005F111A"/>
    <w:rsid w:val="005F3EE5"/>
    <w:rsid w:val="00620B1E"/>
    <w:rsid w:val="006358C4"/>
    <w:rsid w:val="00640FCC"/>
    <w:rsid w:val="00647AB6"/>
    <w:rsid w:val="00647C31"/>
    <w:rsid w:val="00650E82"/>
    <w:rsid w:val="00664A63"/>
    <w:rsid w:val="00665B62"/>
    <w:rsid w:val="00675EBF"/>
    <w:rsid w:val="00681AA3"/>
    <w:rsid w:val="00684E56"/>
    <w:rsid w:val="00694FB3"/>
    <w:rsid w:val="006A3FE6"/>
    <w:rsid w:val="006A4B92"/>
    <w:rsid w:val="006C44B1"/>
    <w:rsid w:val="006D7441"/>
    <w:rsid w:val="006E3FA8"/>
    <w:rsid w:val="006E4228"/>
    <w:rsid w:val="00701449"/>
    <w:rsid w:val="00701817"/>
    <w:rsid w:val="00702A69"/>
    <w:rsid w:val="007108AF"/>
    <w:rsid w:val="007307D9"/>
    <w:rsid w:val="00730BB9"/>
    <w:rsid w:val="007358B6"/>
    <w:rsid w:val="00742E3F"/>
    <w:rsid w:val="00772CBE"/>
    <w:rsid w:val="00777049"/>
    <w:rsid w:val="0077749F"/>
    <w:rsid w:val="00786C98"/>
    <w:rsid w:val="007931D7"/>
    <w:rsid w:val="007A2A67"/>
    <w:rsid w:val="007C439F"/>
    <w:rsid w:val="007C47D0"/>
    <w:rsid w:val="007D1608"/>
    <w:rsid w:val="007D2BE2"/>
    <w:rsid w:val="007E2F5D"/>
    <w:rsid w:val="00816BC1"/>
    <w:rsid w:val="008227F0"/>
    <w:rsid w:val="008348F9"/>
    <w:rsid w:val="008526F7"/>
    <w:rsid w:val="008730D3"/>
    <w:rsid w:val="008A4B74"/>
    <w:rsid w:val="008C16CF"/>
    <w:rsid w:val="008D5023"/>
    <w:rsid w:val="0090354B"/>
    <w:rsid w:val="00922894"/>
    <w:rsid w:val="0092418A"/>
    <w:rsid w:val="009274B5"/>
    <w:rsid w:val="00952514"/>
    <w:rsid w:val="0096740B"/>
    <w:rsid w:val="00983BF0"/>
    <w:rsid w:val="00996FA8"/>
    <w:rsid w:val="009B0D4B"/>
    <w:rsid w:val="009B5772"/>
    <w:rsid w:val="009C3508"/>
    <w:rsid w:val="009C3AA5"/>
    <w:rsid w:val="009C559E"/>
    <w:rsid w:val="009C67A0"/>
    <w:rsid w:val="009D4893"/>
    <w:rsid w:val="00A1544B"/>
    <w:rsid w:val="00A17D78"/>
    <w:rsid w:val="00A2106E"/>
    <w:rsid w:val="00A231BF"/>
    <w:rsid w:val="00A26EAC"/>
    <w:rsid w:val="00A33BC1"/>
    <w:rsid w:val="00A406E0"/>
    <w:rsid w:val="00A42E88"/>
    <w:rsid w:val="00A62BDC"/>
    <w:rsid w:val="00A6581E"/>
    <w:rsid w:val="00A87EA9"/>
    <w:rsid w:val="00A963CF"/>
    <w:rsid w:val="00AA6028"/>
    <w:rsid w:val="00AA67B4"/>
    <w:rsid w:val="00AB0626"/>
    <w:rsid w:val="00AB6187"/>
    <w:rsid w:val="00AC7142"/>
    <w:rsid w:val="00AF165E"/>
    <w:rsid w:val="00AF263F"/>
    <w:rsid w:val="00AF42CF"/>
    <w:rsid w:val="00B15A2D"/>
    <w:rsid w:val="00B203C4"/>
    <w:rsid w:val="00B41AFA"/>
    <w:rsid w:val="00B56F43"/>
    <w:rsid w:val="00B57337"/>
    <w:rsid w:val="00B6686F"/>
    <w:rsid w:val="00B825B8"/>
    <w:rsid w:val="00B83CB2"/>
    <w:rsid w:val="00B85916"/>
    <w:rsid w:val="00B915DB"/>
    <w:rsid w:val="00BA564F"/>
    <w:rsid w:val="00BB7DB0"/>
    <w:rsid w:val="00BC054B"/>
    <w:rsid w:val="00BC12D7"/>
    <w:rsid w:val="00BC37EC"/>
    <w:rsid w:val="00BD715A"/>
    <w:rsid w:val="00BD7B34"/>
    <w:rsid w:val="00C01B5F"/>
    <w:rsid w:val="00C114CA"/>
    <w:rsid w:val="00C1167D"/>
    <w:rsid w:val="00C1525D"/>
    <w:rsid w:val="00C36FAC"/>
    <w:rsid w:val="00C44A20"/>
    <w:rsid w:val="00C71DA9"/>
    <w:rsid w:val="00C75300"/>
    <w:rsid w:val="00C90727"/>
    <w:rsid w:val="00CE40AC"/>
    <w:rsid w:val="00CE43DA"/>
    <w:rsid w:val="00CF17C7"/>
    <w:rsid w:val="00D06610"/>
    <w:rsid w:val="00D16BD8"/>
    <w:rsid w:val="00D17298"/>
    <w:rsid w:val="00D2136C"/>
    <w:rsid w:val="00D4010D"/>
    <w:rsid w:val="00D67E77"/>
    <w:rsid w:val="00D765B3"/>
    <w:rsid w:val="00D942B1"/>
    <w:rsid w:val="00DA6197"/>
    <w:rsid w:val="00DA65A0"/>
    <w:rsid w:val="00DA7474"/>
    <w:rsid w:val="00DB10A5"/>
    <w:rsid w:val="00DB41F3"/>
    <w:rsid w:val="00DB7902"/>
    <w:rsid w:val="00DC5BC4"/>
    <w:rsid w:val="00DE4330"/>
    <w:rsid w:val="00DE58B1"/>
    <w:rsid w:val="00DF2F6E"/>
    <w:rsid w:val="00E206F0"/>
    <w:rsid w:val="00E21EFF"/>
    <w:rsid w:val="00E27986"/>
    <w:rsid w:val="00E34C56"/>
    <w:rsid w:val="00E418E9"/>
    <w:rsid w:val="00E445FE"/>
    <w:rsid w:val="00E542C7"/>
    <w:rsid w:val="00E55B1C"/>
    <w:rsid w:val="00E67AE6"/>
    <w:rsid w:val="00E7617B"/>
    <w:rsid w:val="00E84E0C"/>
    <w:rsid w:val="00E90E2F"/>
    <w:rsid w:val="00EB0FCC"/>
    <w:rsid w:val="00EC06E9"/>
    <w:rsid w:val="00ED6649"/>
    <w:rsid w:val="00ED6C37"/>
    <w:rsid w:val="00EE63D3"/>
    <w:rsid w:val="00F06220"/>
    <w:rsid w:val="00F20EC2"/>
    <w:rsid w:val="00F21271"/>
    <w:rsid w:val="00F31CE7"/>
    <w:rsid w:val="00F357FC"/>
    <w:rsid w:val="00F82BDC"/>
    <w:rsid w:val="00FA3A95"/>
    <w:rsid w:val="00FC57F9"/>
    <w:rsid w:val="00FC6375"/>
    <w:rsid w:val="00FD0881"/>
    <w:rsid w:val="00FD52C9"/>
    <w:rsid w:val="00FE51B6"/>
    <w:rsid w:val="00FF1219"/>
    <w:rsid w:val="00FF1CBA"/>
    <w:rsid w:val="00FF2361"/>
    <w:rsid w:val="01007E42"/>
    <w:rsid w:val="01026223"/>
    <w:rsid w:val="01275D20"/>
    <w:rsid w:val="01583385"/>
    <w:rsid w:val="017734C4"/>
    <w:rsid w:val="01864D83"/>
    <w:rsid w:val="019A5532"/>
    <w:rsid w:val="019B685C"/>
    <w:rsid w:val="02044F27"/>
    <w:rsid w:val="0238643A"/>
    <w:rsid w:val="024A2175"/>
    <w:rsid w:val="028D3811"/>
    <w:rsid w:val="029E7AD0"/>
    <w:rsid w:val="02F545EC"/>
    <w:rsid w:val="02FA30D3"/>
    <w:rsid w:val="03090322"/>
    <w:rsid w:val="032759B1"/>
    <w:rsid w:val="03A07AD7"/>
    <w:rsid w:val="03BF5C9E"/>
    <w:rsid w:val="0439713F"/>
    <w:rsid w:val="047A0AE3"/>
    <w:rsid w:val="04AC72EC"/>
    <w:rsid w:val="05190704"/>
    <w:rsid w:val="057B7AFF"/>
    <w:rsid w:val="0580226C"/>
    <w:rsid w:val="05AA531D"/>
    <w:rsid w:val="05CD3179"/>
    <w:rsid w:val="05D067D9"/>
    <w:rsid w:val="06750C66"/>
    <w:rsid w:val="06C35F8E"/>
    <w:rsid w:val="06DB7470"/>
    <w:rsid w:val="06E51B6B"/>
    <w:rsid w:val="06EF58D3"/>
    <w:rsid w:val="07116147"/>
    <w:rsid w:val="07445F64"/>
    <w:rsid w:val="075E76FE"/>
    <w:rsid w:val="079B0BC0"/>
    <w:rsid w:val="085241F0"/>
    <w:rsid w:val="0855720F"/>
    <w:rsid w:val="085B4F44"/>
    <w:rsid w:val="088D5F5C"/>
    <w:rsid w:val="08C005A2"/>
    <w:rsid w:val="08EB30F4"/>
    <w:rsid w:val="09037F14"/>
    <w:rsid w:val="090833CC"/>
    <w:rsid w:val="096D5AA7"/>
    <w:rsid w:val="0997077C"/>
    <w:rsid w:val="09E0143B"/>
    <w:rsid w:val="09FD11BF"/>
    <w:rsid w:val="0A260FC3"/>
    <w:rsid w:val="0A2B6A3F"/>
    <w:rsid w:val="0A540B39"/>
    <w:rsid w:val="0A611299"/>
    <w:rsid w:val="0AB823C4"/>
    <w:rsid w:val="0ACA4546"/>
    <w:rsid w:val="0ADE3B76"/>
    <w:rsid w:val="0B4278E4"/>
    <w:rsid w:val="0BA525D8"/>
    <w:rsid w:val="0BD10048"/>
    <w:rsid w:val="0BD50CE3"/>
    <w:rsid w:val="0C2F6006"/>
    <w:rsid w:val="0C392C1F"/>
    <w:rsid w:val="0C426CB3"/>
    <w:rsid w:val="0C5056AF"/>
    <w:rsid w:val="0C5B37C6"/>
    <w:rsid w:val="0C5B3F21"/>
    <w:rsid w:val="0C602928"/>
    <w:rsid w:val="0C8352C9"/>
    <w:rsid w:val="0C88726E"/>
    <w:rsid w:val="0CCB7B51"/>
    <w:rsid w:val="0CD83AA7"/>
    <w:rsid w:val="0D08638B"/>
    <w:rsid w:val="0D7C6716"/>
    <w:rsid w:val="0DC134A7"/>
    <w:rsid w:val="0E014932"/>
    <w:rsid w:val="0E155B5A"/>
    <w:rsid w:val="0E4D03C4"/>
    <w:rsid w:val="0E512BF8"/>
    <w:rsid w:val="0EEF4264"/>
    <w:rsid w:val="0EF20E9B"/>
    <w:rsid w:val="0EF46240"/>
    <w:rsid w:val="0EFA5499"/>
    <w:rsid w:val="0F296557"/>
    <w:rsid w:val="0F465E03"/>
    <w:rsid w:val="0F681E22"/>
    <w:rsid w:val="0F6C20F8"/>
    <w:rsid w:val="0F9262E5"/>
    <w:rsid w:val="0FEE60A0"/>
    <w:rsid w:val="100B5B75"/>
    <w:rsid w:val="10390CED"/>
    <w:rsid w:val="108D7FEC"/>
    <w:rsid w:val="10A15F20"/>
    <w:rsid w:val="10C34A85"/>
    <w:rsid w:val="10DD3E24"/>
    <w:rsid w:val="10EB0A61"/>
    <w:rsid w:val="10F96CD3"/>
    <w:rsid w:val="110D477C"/>
    <w:rsid w:val="11230728"/>
    <w:rsid w:val="11301804"/>
    <w:rsid w:val="117E3EBF"/>
    <w:rsid w:val="11A63895"/>
    <w:rsid w:val="11AA0E33"/>
    <w:rsid w:val="11B014BD"/>
    <w:rsid w:val="11D465DE"/>
    <w:rsid w:val="11DE5C6A"/>
    <w:rsid w:val="11F35E10"/>
    <w:rsid w:val="121E003E"/>
    <w:rsid w:val="123238F4"/>
    <w:rsid w:val="124E6914"/>
    <w:rsid w:val="12545C6B"/>
    <w:rsid w:val="126C329A"/>
    <w:rsid w:val="127A62D0"/>
    <w:rsid w:val="12BA51F9"/>
    <w:rsid w:val="12D84CD4"/>
    <w:rsid w:val="12F51579"/>
    <w:rsid w:val="12FD7CCA"/>
    <w:rsid w:val="13042B7A"/>
    <w:rsid w:val="131909C4"/>
    <w:rsid w:val="137139DD"/>
    <w:rsid w:val="13C139AF"/>
    <w:rsid w:val="13E01C4A"/>
    <w:rsid w:val="13F761E0"/>
    <w:rsid w:val="14333776"/>
    <w:rsid w:val="143A679C"/>
    <w:rsid w:val="144E16AB"/>
    <w:rsid w:val="144F6715"/>
    <w:rsid w:val="145843FC"/>
    <w:rsid w:val="147A16BB"/>
    <w:rsid w:val="149B6817"/>
    <w:rsid w:val="14AA5797"/>
    <w:rsid w:val="156600AB"/>
    <w:rsid w:val="15667555"/>
    <w:rsid w:val="157E3E54"/>
    <w:rsid w:val="15A97268"/>
    <w:rsid w:val="15CF1DD7"/>
    <w:rsid w:val="15E224A7"/>
    <w:rsid w:val="16150220"/>
    <w:rsid w:val="164342FA"/>
    <w:rsid w:val="165770B0"/>
    <w:rsid w:val="16635F8A"/>
    <w:rsid w:val="16A22BEB"/>
    <w:rsid w:val="16CB645F"/>
    <w:rsid w:val="16D743AB"/>
    <w:rsid w:val="16D904DF"/>
    <w:rsid w:val="171149C7"/>
    <w:rsid w:val="171820A2"/>
    <w:rsid w:val="1754181D"/>
    <w:rsid w:val="17571001"/>
    <w:rsid w:val="17707BBF"/>
    <w:rsid w:val="17776970"/>
    <w:rsid w:val="179E6119"/>
    <w:rsid w:val="17BA1FA3"/>
    <w:rsid w:val="17CF624F"/>
    <w:rsid w:val="18106EC5"/>
    <w:rsid w:val="181270D8"/>
    <w:rsid w:val="183A7AB3"/>
    <w:rsid w:val="18402742"/>
    <w:rsid w:val="185C4B83"/>
    <w:rsid w:val="190136C6"/>
    <w:rsid w:val="190C0B53"/>
    <w:rsid w:val="195924DA"/>
    <w:rsid w:val="19AD3DF7"/>
    <w:rsid w:val="19B50D0C"/>
    <w:rsid w:val="1A40548D"/>
    <w:rsid w:val="1ACA77FB"/>
    <w:rsid w:val="1ACC5BF8"/>
    <w:rsid w:val="1AD774CB"/>
    <w:rsid w:val="1B1E67F8"/>
    <w:rsid w:val="1B200CF6"/>
    <w:rsid w:val="1B390BDC"/>
    <w:rsid w:val="1B8E7170"/>
    <w:rsid w:val="1BC73E1F"/>
    <w:rsid w:val="1BE0443F"/>
    <w:rsid w:val="1C471722"/>
    <w:rsid w:val="1C5C588F"/>
    <w:rsid w:val="1C970C7C"/>
    <w:rsid w:val="1C983F97"/>
    <w:rsid w:val="1CB1569A"/>
    <w:rsid w:val="1CB313F6"/>
    <w:rsid w:val="1CBE4B4B"/>
    <w:rsid w:val="1CEF0D6A"/>
    <w:rsid w:val="1CF26A5C"/>
    <w:rsid w:val="1CFB6B14"/>
    <w:rsid w:val="1D3C45B0"/>
    <w:rsid w:val="1D4028B0"/>
    <w:rsid w:val="1D8A35A8"/>
    <w:rsid w:val="1DDD1DE6"/>
    <w:rsid w:val="1E00462C"/>
    <w:rsid w:val="1E1C5E73"/>
    <w:rsid w:val="1E282FF3"/>
    <w:rsid w:val="1E2B39B6"/>
    <w:rsid w:val="1E3D5BFF"/>
    <w:rsid w:val="1E3F5B0A"/>
    <w:rsid w:val="1E402DD2"/>
    <w:rsid w:val="1E5B585E"/>
    <w:rsid w:val="1E703E54"/>
    <w:rsid w:val="1E8303B8"/>
    <w:rsid w:val="1EA0459D"/>
    <w:rsid w:val="1EA62DBC"/>
    <w:rsid w:val="1EB21D4C"/>
    <w:rsid w:val="1ECC5D06"/>
    <w:rsid w:val="1ED42809"/>
    <w:rsid w:val="1F384EA1"/>
    <w:rsid w:val="1F6A2CF4"/>
    <w:rsid w:val="1F9F2549"/>
    <w:rsid w:val="1FB42F8C"/>
    <w:rsid w:val="1FC374ED"/>
    <w:rsid w:val="1FCC5382"/>
    <w:rsid w:val="1FF71BD2"/>
    <w:rsid w:val="1FFD6FC8"/>
    <w:rsid w:val="202279CC"/>
    <w:rsid w:val="20441B19"/>
    <w:rsid w:val="20520281"/>
    <w:rsid w:val="20663493"/>
    <w:rsid w:val="2069018D"/>
    <w:rsid w:val="20940B18"/>
    <w:rsid w:val="20A0219D"/>
    <w:rsid w:val="20B87A68"/>
    <w:rsid w:val="20BF45FE"/>
    <w:rsid w:val="20C6666F"/>
    <w:rsid w:val="20C70459"/>
    <w:rsid w:val="20D34E96"/>
    <w:rsid w:val="2102069D"/>
    <w:rsid w:val="21082292"/>
    <w:rsid w:val="213E3E63"/>
    <w:rsid w:val="214C6062"/>
    <w:rsid w:val="217F6F47"/>
    <w:rsid w:val="217F7DC8"/>
    <w:rsid w:val="21C9221A"/>
    <w:rsid w:val="22160B82"/>
    <w:rsid w:val="223F3F77"/>
    <w:rsid w:val="2297314D"/>
    <w:rsid w:val="229F23A9"/>
    <w:rsid w:val="22A279E3"/>
    <w:rsid w:val="22BA2B41"/>
    <w:rsid w:val="22BF0053"/>
    <w:rsid w:val="22D26F9A"/>
    <w:rsid w:val="23561695"/>
    <w:rsid w:val="23886FC3"/>
    <w:rsid w:val="23B12896"/>
    <w:rsid w:val="23CB0902"/>
    <w:rsid w:val="23F316BB"/>
    <w:rsid w:val="24763848"/>
    <w:rsid w:val="247C12B5"/>
    <w:rsid w:val="24827E18"/>
    <w:rsid w:val="24880FB1"/>
    <w:rsid w:val="24963225"/>
    <w:rsid w:val="24DF6949"/>
    <w:rsid w:val="2513393D"/>
    <w:rsid w:val="253353F5"/>
    <w:rsid w:val="25377C12"/>
    <w:rsid w:val="25902E9C"/>
    <w:rsid w:val="25B0273C"/>
    <w:rsid w:val="25D45C3E"/>
    <w:rsid w:val="25DD61F7"/>
    <w:rsid w:val="25E81861"/>
    <w:rsid w:val="26034EF6"/>
    <w:rsid w:val="260E6047"/>
    <w:rsid w:val="261875AF"/>
    <w:rsid w:val="26195E0C"/>
    <w:rsid w:val="263D5C2C"/>
    <w:rsid w:val="26AF716B"/>
    <w:rsid w:val="26D4301E"/>
    <w:rsid w:val="26E17A5C"/>
    <w:rsid w:val="27206942"/>
    <w:rsid w:val="273C76A0"/>
    <w:rsid w:val="27437FDF"/>
    <w:rsid w:val="276E7580"/>
    <w:rsid w:val="279E1806"/>
    <w:rsid w:val="279F27E3"/>
    <w:rsid w:val="27AF28A1"/>
    <w:rsid w:val="27D67955"/>
    <w:rsid w:val="281E11E4"/>
    <w:rsid w:val="284D1502"/>
    <w:rsid w:val="28B92147"/>
    <w:rsid w:val="28F321E9"/>
    <w:rsid w:val="293624BD"/>
    <w:rsid w:val="294D49C5"/>
    <w:rsid w:val="299E43EF"/>
    <w:rsid w:val="29BA0A21"/>
    <w:rsid w:val="29BE1781"/>
    <w:rsid w:val="2A19597B"/>
    <w:rsid w:val="2A23324E"/>
    <w:rsid w:val="2A6C2D68"/>
    <w:rsid w:val="2A7439F6"/>
    <w:rsid w:val="2AFD4EC5"/>
    <w:rsid w:val="2AFF1738"/>
    <w:rsid w:val="2B046437"/>
    <w:rsid w:val="2B1B420B"/>
    <w:rsid w:val="2B1C14AB"/>
    <w:rsid w:val="2B376F2C"/>
    <w:rsid w:val="2B417276"/>
    <w:rsid w:val="2B5A5895"/>
    <w:rsid w:val="2BCA5B56"/>
    <w:rsid w:val="2C4D60B7"/>
    <w:rsid w:val="2C852F06"/>
    <w:rsid w:val="2C8774D1"/>
    <w:rsid w:val="2C981CCD"/>
    <w:rsid w:val="2C9F53AF"/>
    <w:rsid w:val="2CBA641B"/>
    <w:rsid w:val="2D040C32"/>
    <w:rsid w:val="2D0757A6"/>
    <w:rsid w:val="2D982E0B"/>
    <w:rsid w:val="2DB53B3B"/>
    <w:rsid w:val="2DCC44FF"/>
    <w:rsid w:val="2E072654"/>
    <w:rsid w:val="2E3B239C"/>
    <w:rsid w:val="2E6F38EF"/>
    <w:rsid w:val="2EC24EAE"/>
    <w:rsid w:val="2ECF2473"/>
    <w:rsid w:val="2EEF4340"/>
    <w:rsid w:val="2F9075F6"/>
    <w:rsid w:val="2F9604D9"/>
    <w:rsid w:val="2F9A594D"/>
    <w:rsid w:val="2FDD75D7"/>
    <w:rsid w:val="2FF3519E"/>
    <w:rsid w:val="305B3E03"/>
    <w:rsid w:val="307B4A76"/>
    <w:rsid w:val="30AE4FB6"/>
    <w:rsid w:val="31003851"/>
    <w:rsid w:val="311145A1"/>
    <w:rsid w:val="313279B0"/>
    <w:rsid w:val="31754A73"/>
    <w:rsid w:val="317F3D7D"/>
    <w:rsid w:val="31960D20"/>
    <w:rsid w:val="31A0687C"/>
    <w:rsid w:val="31BB59BE"/>
    <w:rsid w:val="31CD0C24"/>
    <w:rsid w:val="31F0559B"/>
    <w:rsid w:val="31FF60CF"/>
    <w:rsid w:val="32053742"/>
    <w:rsid w:val="32142260"/>
    <w:rsid w:val="322963D4"/>
    <w:rsid w:val="32642296"/>
    <w:rsid w:val="32A01606"/>
    <w:rsid w:val="32C94A9C"/>
    <w:rsid w:val="32E120A3"/>
    <w:rsid w:val="32E5656B"/>
    <w:rsid w:val="33026E10"/>
    <w:rsid w:val="332D454F"/>
    <w:rsid w:val="333C1398"/>
    <w:rsid w:val="33444303"/>
    <w:rsid w:val="334E1463"/>
    <w:rsid w:val="335245FC"/>
    <w:rsid w:val="344016F8"/>
    <w:rsid w:val="346E1273"/>
    <w:rsid w:val="348E3F5F"/>
    <w:rsid w:val="34A07D70"/>
    <w:rsid w:val="34AB5D51"/>
    <w:rsid w:val="34AE125F"/>
    <w:rsid w:val="34D84426"/>
    <w:rsid w:val="34D85063"/>
    <w:rsid w:val="34DA0634"/>
    <w:rsid w:val="359B5E22"/>
    <w:rsid w:val="359C1AAB"/>
    <w:rsid w:val="35A63D95"/>
    <w:rsid w:val="35AB3B2B"/>
    <w:rsid w:val="35B06007"/>
    <w:rsid w:val="35B11597"/>
    <w:rsid w:val="35F0133B"/>
    <w:rsid w:val="360B3E62"/>
    <w:rsid w:val="364E1FAC"/>
    <w:rsid w:val="367F29FE"/>
    <w:rsid w:val="36863A20"/>
    <w:rsid w:val="36BC0BCE"/>
    <w:rsid w:val="36C26B8E"/>
    <w:rsid w:val="36E41E01"/>
    <w:rsid w:val="36E548BA"/>
    <w:rsid w:val="36F452A3"/>
    <w:rsid w:val="374455DA"/>
    <w:rsid w:val="3744619F"/>
    <w:rsid w:val="374D3D38"/>
    <w:rsid w:val="37513218"/>
    <w:rsid w:val="37797AAB"/>
    <w:rsid w:val="37965565"/>
    <w:rsid w:val="39525955"/>
    <w:rsid w:val="39535017"/>
    <w:rsid w:val="39681137"/>
    <w:rsid w:val="3971655D"/>
    <w:rsid w:val="39BA1ADC"/>
    <w:rsid w:val="3A575933"/>
    <w:rsid w:val="3A5A62B8"/>
    <w:rsid w:val="3A735F50"/>
    <w:rsid w:val="3A8D08BE"/>
    <w:rsid w:val="3A946615"/>
    <w:rsid w:val="3AE83416"/>
    <w:rsid w:val="3B1E1277"/>
    <w:rsid w:val="3B241639"/>
    <w:rsid w:val="3B2958E9"/>
    <w:rsid w:val="3B4342F2"/>
    <w:rsid w:val="3B484618"/>
    <w:rsid w:val="3BAC54A0"/>
    <w:rsid w:val="3BB450D2"/>
    <w:rsid w:val="3BB83A55"/>
    <w:rsid w:val="3BBD42E3"/>
    <w:rsid w:val="3C016259"/>
    <w:rsid w:val="3C5D5296"/>
    <w:rsid w:val="3C70334F"/>
    <w:rsid w:val="3C712927"/>
    <w:rsid w:val="3C797D13"/>
    <w:rsid w:val="3C806348"/>
    <w:rsid w:val="3C815D51"/>
    <w:rsid w:val="3CD2615F"/>
    <w:rsid w:val="3CEF5D68"/>
    <w:rsid w:val="3D11205B"/>
    <w:rsid w:val="3D364B3C"/>
    <w:rsid w:val="3D3D55B3"/>
    <w:rsid w:val="3D50398D"/>
    <w:rsid w:val="3D5619DA"/>
    <w:rsid w:val="3D5D0F6E"/>
    <w:rsid w:val="3D755874"/>
    <w:rsid w:val="3DAC46D3"/>
    <w:rsid w:val="3DE25DB3"/>
    <w:rsid w:val="3DE6670E"/>
    <w:rsid w:val="3E4B156F"/>
    <w:rsid w:val="3E7A463F"/>
    <w:rsid w:val="3E895566"/>
    <w:rsid w:val="3E925B12"/>
    <w:rsid w:val="3EE1564E"/>
    <w:rsid w:val="3F0128C7"/>
    <w:rsid w:val="3F12480E"/>
    <w:rsid w:val="3F50722A"/>
    <w:rsid w:val="3F645D9C"/>
    <w:rsid w:val="3F8E1AF4"/>
    <w:rsid w:val="3FA35235"/>
    <w:rsid w:val="3FE62824"/>
    <w:rsid w:val="3FFD4490"/>
    <w:rsid w:val="40186353"/>
    <w:rsid w:val="405A34BE"/>
    <w:rsid w:val="40650AB8"/>
    <w:rsid w:val="40D50F73"/>
    <w:rsid w:val="40E765BD"/>
    <w:rsid w:val="410D6E30"/>
    <w:rsid w:val="41412351"/>
    <w:rsid w:val="414E6719"/>
    <w:rsid w:val="416D4D8C"/>
    <w:rsid w:val="417A46D4"/>
    <w:rsid w:val="419345E1"/>
    <w:rsid w:val="41940CDA"/>
    <w:rsid w:val="41AA2509"/>
    <w:rsid w:val="41C61D98"/>
    <w:rsid w:val="41CF0BCF"/>
    <w:rsid w:val="41D427C4"/>
    <w:rsid w:val="41E04248"/>
    <w:rsid w:val="42042CCA"/>
    <w:rsid w:val="422C2364"/>
    <w:rsid w:val="42696552"/>
    <w:rsid w:val="42812A86"/>
    <w:rsid w:val="42B56350"/>
    <w:rsid w:val="432C5504"/>
    <w:rsid w:val="43365770"/>
    <w:rsid w:val="433F05BE"/>
    <w:rsid w:val="43482809"/>
    <w:rsid w:val="43727FC7"/>
    <w:rsid w:val="43794BD1"/>
    <w:rsid w:val="43876CC6"/>
    <w:rsid w:val="4402491B"/>
    <w:rsid w:val="447629D7"/>
    <w:rsid w:val="44A703E9"/>
    <w:rsid w:val="44C409AF"/>
    <w:rsid w:val="44CB6471"/>
    <w:rsid w:val="44D70159"/>
    <w:rsid w:val="4504471C"/>
    <w:rsid w:val="45203230"/>
    <w:rsid w:val="452F387D"/>
    <w:rsid w:val="45603002"/>
    <w:rsid w:val="4567448A"/>
    <w:rsid w:val="460008CE"/>
    <w:rsid w:val="46212412"/>
    <w:rsid w:val="46767AA6"/>
    <w:rsid w:val="46A301C2"/>
    <w:rsid w:val="46A6408A"/>
    <w:rsid w:val="46A83331"/>
    <w:rsid w:val="46B215A3"/>
    <w:rsid w:val="46C22DD5"/>
    <w:rsid w:val="46C36755"/>
    <w:rsid w:val="46D027AA"/>
    <w:rsid w:val="46DC5D92"/>
    <w:rsid w:val="46E27E0C"/>
    <w:rsid w:val="47396823"/>
    <w:rsid w:val="47711558"/>
    <w:rsid w:val="47723768"/>
    <w:rsid w:val="47D9353C"/>
    <w:rsid w:val="47E54F55"/>
    <w:rsid w:val="47EE423B"/>
    <w:rsid w:val="480005CF"/>
    <w:rsid w:val="48A25DD0"/>
    <w:rsid w:val="48C81937"/>
    <w:rsid w:val="48D73DAB"/>
    <w:rsid w:val="48DD2962"/>
    <w:rsid w:val="48E734B9"/>
    <w:rsid w:val="49490BB1"/>
    <w:rsid w:val="494B36B3"/>
    <w:rsid w:val="49692915"/>
    <w:rsid w:val="4A1001FC"/>
    <w:rsid w:val="4A3847B0"/>
    <w:rsid w:val="4A3F772C"/>
    <w:rsid w:val="4A492B02"/>
    <w:rsid w:val="4A525AF7"/>
    <w:rsid w:val="4A584C12"/>
    <w:rsid w:val="4A6603DD"/>
    <w:rsid w:val="4A6E7668"/>
    <w:rsid w:val="4A9876F1"/>
    <w:rsid w:val="4AB4238D"/>
    <w:rsid w:val="4ABC719B"/>
    <w:rsid w:val="4ADA3BA5"/>
    <w:rsid w:val="4B054806"/>
    <w:rsid w:val="4B1413A3"/>
    <w:rsid w:val="4B1C763E"/>
    <w:rsid w:val="4B6C0448"/>
    <w:rsid w:val="4B992729"/>
    <w:rsid w:val="4BC54AFC"/>
    <w:rsid w:val="4BF14E5C"/>
    <w:rsid w:val="4BF6455A"/>
    <w:rsid w:val="4C2A6C7A"/>
    <w:rsid w:val="4C2C72E7"/>
    <w:rsid w:val="4CB2203E"/>
    <w:rsid w:val="4D2F1ADF"/>
    <w:rsid w:val="4D397E04"/>
    <w:rsid w:val="4D5B3007"/>
    <w:rsid w:val="4D83282D"/>
    <w:rsid w:val="4DB91463"/>
    <w:rsid w:val="4E2C33DD"/>
    <w:rsid w:val="4E3516A9"/>
    <w:rsid w:val="4E663FE6"/>
    <w:rsid w:val="4E982F17"/>
    <w:rsid w:val="4EBC4081"/>
    <w:rsid w:val="4ED43E85"/>
    <w:rsid w:val="4EEB7681"/>
    <w:rsid w:val="4F377CE8"/>
    <w:rsid w:val="4F48599F"/>
    <w:rsid w:val="4F604C84"/>
    <w:rsid w:val="4F687B14"/>
    <w:rsid w:val="4F96706C"/>
    <w:rsid w:val="4FA060F5"/>
    <w:rsid w:val="4FC915F8"/>
    <w:rsid w:val="4FDA6341"/>
    <w:rsid w:val="50421741"/>
    <w:rsid w:val="504E4277"/>
    <w:rsid w:val="506A4669"/>
    <w:rsid w:val="506F3038"/>
    <w:rsid w:val="50BB78A8"/>
    <w:rsid w:val="50F07683"/>
    <w:rsid w:val="51316332"/>
    <w:rsid w:val="5143165E"/>
    <w:rsid w:val="5152292F"/>
    <w:rsid w:val="516C70A1"/>
    <w:rsid w:val="524B2109"/>
    <w:rsid w:val="52725570"/>
    <w:rsid w:val="52D25198"/>
    <w:rsid w:val="52DF7655"/>
    <w:rsid w:val="52F21B43"/>
    <w:rsid w:val="52FC20E7"/>
    <w:rsid w:val="53315390"/>
    <w:rsid w:val="534B0C47"/>
    <w:rsid w:val="5360776D"/>
    <w:rsid w:val="53682721"/>
    <w:rsid w:val="537261AA"/>
    <w:rsid w:val="537B3490"/>
    <w:rsid w:val="53E411F3"/>
    <w:rsid w:val="53FE0393"/>
    <w:rsid w:val="544534B4"/>
    <w:rsid w:val="544A095C"/>
    <w:rsid w:val="544D59FD"/>
    <w:rsid w:val="550479F9"/>
    <w:rsid w:val="55231B08"/>
    <w:rsid w:val="554054D5"/>
    <w:rsid w:val="5565242B"/>
    <w:rsid w:val="557D432D"/>
    <w:rsid w:val="558B0EF2"/>
    <w:rsid w:val="55A74D06"/>
    <w:rsid w:val="55A75A83"/>
    <w:rsid w:val="55C839DA"/>
    <w:rsid w:val="56195DC5"/>
    <w:rsid w:val="561D69C4"/>
    <w:rsid w:val="562079EA"/>
    <w:rsid w:val="565A09B0"/>
    <w:rsid w:val="5671771B"/>
    <w:rsid w:val="569F5204"/>
    <w:rsid w:val="56A40F80"/>
    <w:rsid w:val="56E30A23"/>
    <w:rsid w:val="56F805D3"/>
    <w:rsid w:val="56FB6AB2"/>
    <w:rsid w:val="572F2122"/>
    <w:rsid w:val="5732282D"/>
    <w:rsid w:val="57513E3C"/>
    <w:rsid w:val="575E71D1"/>
    <w:rsid w:val="57656AAF"/>
    <w:rsid w:val="57780285"/>
    <w:rsid w:val="57895841"/>
    <w:rsid w:val="57CB7122"/>
    <w:rsid w:val="57D12C5A"/>
    <w:rsid w:val="580F49BF"/>
    <w:rsid w:val="583B5480"/>
    <w:rsid w:val="58C67724"/>
    <w:rsid w:val="58F74373"/>
    <w:rsid w:val="58FB6986"/>
    <w:rsid w:val="59087308"/>
    <w:rsid w:val="592B2BC8"/>
    <w:rsid w:val="5932697F"/>
    <w:rsid w:val="5945570A"/>
    <w:rsid w:val="59843CBF"/>
    <w:rsid w:val="598A1022"/>
    <w:rsid w:val="59B93578"/>
    <w:rsid w:val="59C60319"/>
    <w:rsid w:val="5A713E12"/>
    <w:rsid w:val="5AC015B8"/>
    <w:rsid w:val="5AE2690A"/>
    <w:rsid w:val="5AF16743"/>
    <w:rsid w:val="5B021D04"/>
    <w:rsid w:val="5B365BD0"/>
    <w:rsid w:val="5B5267B9"/>
    <w:rsid w:val="5B5F034D"/>
    <w:rsid w:val="5B64318C"/>
    <w:rsid w:val="5B7A2A80"/>
    <w:rsid w:val="5BC05588"/>
    <w:rsid w:val="5BD42E24"/>
    <w:rsid w:val="5BE21F66"/>
    <w:rsid w:val="5BFB37A6"/>
    <w:rsid w:val="5C157F43"/>
    <w:rsid w:val="5C240C7B"/>
    <w:rsid w:val="5C8D51F6"/>
    <w:rsid w:val="5C9B08F9"/>
    <w:rsid w:val="5CA52AF5"/>
    <w:rsid w:val="5CB963A2"/>
    <w:rsid w:val="5CC41C0D"/>
    <w:rsid w:val="5CCE1A7B"/>
    <w:rsid w:val="5CE42D12"/>
    <w:rsid w:val="5D2915E4"/>
    <w:rsid w:val="5D3B71FE"/>
    <w:rsid w:val="5D5D7AEC"/>
    <w:rsid w:val="5D6A3C9B"/>
    <w:rsid w:val="5DB07B64"/>
    <w:rsid w:val="5DB7265E"/>
    <w:rsid w:val="5DDE2965"/>
    <w:rsid w:val="5DE55D4F"/>
    <w:rsid w:val="5E0B635A"/>
    <w:rsid w:val="5E874794"/>
    <w:rsid w:val="5EA11D24"/>
    <w:rsid w:val="5EB9169C"/>
    <w:rsid w:val="5ED02091"/>
    <w:rsid w:val="5EF54261"/>
    <w:rsid w:val="5EF66F80"/>
    <w:rsid w:val="5EFD3DCB"/>
    <w:rsid w:val="5F323D85"/>
    <w:rsid w:val="5F5919A6"/>
    <w:rsid w:val="5F82440E"/>
    <w:rsid w:val="5F925DFC"/>
    <w:rsid w:val="5F9D6970"/>
    <w:rsid w:val="5FB7111C"/>
    <w:rsid w:val="5FB87095"/>
    <w:rsid w:val="5FE408D5"/>
    <w:rsid w:val="600A0DD5"/>
    <w:rsid w:val="601A0E99"/>
    <w:rsid w:val="60210B27"/>
    <w:rsid w:val="60675970"/>
    <w:rsid w:val="607F78F5"/>
    <w:rsid w:val="60992FAF"/>
    <w:rsid w:val="60C7316A"/>
    <w:rsid w:val="60CE3883"/>
    <w:rsid w:val="60F316ED"/>
    <w:rsid w:val="610B3038"/>
    <w:rsid w:val="6157463B"/>
    <w:rsid w:val="617E4947"/>
    <w:rsid w:val="618C3680"/>
    <w:rsid w:val="619157A0"/>
    <w:rsid w:val="619A090F"/>
    <w:rsid w:val="61AD7FAC"/>
    <w:rsid w:val="61CD7939"/>
    <w:rsid w:val="62012E19"/>
    <w:rsid w:val="620432C5"/>
    <w:rsid w:val="620C4DF8"/>
    <w:rsid w:val="62552691"/>
    <w:rsid w:val="627E0359"/>
    <w:rsid w:val="62943E11"/>
    <w:rsid w:val="62E65330"/>
    <w:rsid w:val="62FE72D8"/>
    <w:rsid w:val="631D6B30"/>
    <w:rsid w:val="632259C4"/>
    <w:rsid w:val="63263D0D"/>
    <w:rsid w:val="634D2D5C"/>
    <w:rsid w:val="6373260F"/>
    <w:rsid w:val="63856413"/>
    <w:rsid w:val="63D201A3"/>
    <w:rsid w:val="63E43042"/>
    <w:rsid w:val="64003D27"/>
    <w:rsid w:val="644763D7"/>
    <w:rsid w:val="646E04C5"/>
    <w:rsid w:val="64757F56"/>
    <w:rsid w:val="64774252"/>
    <w:rsid w:val="64823B69"/>
    <w:rsid w:val="649548FB"/>
    <w:rsid w:val="64AD388C"/>
    <w:rsid w:val="64B60830"/>
    <w:rsid w:val="64E7038F"/>
    <w:rsid w:val="65767A7B"/>
    <w:rsid w:val="65922283"/>
    <w:rsid w:val="65956809"/>
    <w:rsid w:val="65A45561"/>
    <w:rsid w:val="65CA5B5D"/>
    <w:rsid w:val="660451B0"/>
    <w:rsid w:val="66481318"/>
    <w:rsid w:val="66582833"/>
    <w:rsid w:val="667557A4"/>
    <w:rsid w:val="668E5B14"/>
    <w:rsid w:val="66A11D77"/>
    <w:rsid w:val="66C66E69"/>
    <w:rsid w:val="673D3AD3"/>
    <w:rsid w:val="67AA791C"/>
    <w:rsid w:val="681253D0"/>
    <w:rsid w:val="68464F3B"/>
    <w:rsid w:val="684A64D9"/>
    <w:rsid w:val="685A6D95"/>
    <w:rsid w:val="68853C42"/>
    <w:rsid w:val="68A32F09"/>
    <w:rsid w:val="68AB5EFC"/>
    <w:rsid w:val="68B94F59"/>
    <w:rsid w:val="68F2680E"/>
    <w:rsid w:val="6924250F"/>
    <w:rsid w:val="69271690"/>
    <w:rsid w:val="693D2E64"/>
    <w:rsid w:val="694C0E55"/>
    <w:rsid w:val="696033A5"/>
    <w:rsid w:val="698E4AF7"/>
    <w:rsid w:val="69A16F46"/>
    <w:rsid w:val="69C55233"/>
    <w:rsid w:val="69EB0D20"/>
    <w:rsid w:val="6A1C474A"/>
    <w:rsid w:val="6A932B4B"/>
    <w:rsid w:val="6AE42A3F"/>
    <w:rsid w:val="6AE866A8"/>
    <w:rsid w:val="6AF619D0"/>
    <w:rsid w:val="6B051D29"/>
    <w:rsid w:val="6B2245BB"/>
    <w:rsid w:val="6B6D718E"/>
    <w:rsid w:val="6B711B7A"/>
    <w:rsid w:val="6B9B2A30"/>
    <w:rsid w:val="6BCF1CB9"/>
    <w:rsid w:val="6BD43669"/>
    <w:rsid w:val="6BE8725E"/>
    <w:rsid w:val="6C152647"/>
    <w:rsid w:val="6C255D33"/>
    <w:rsid w:val="6C2F6077"/>
    <w:rsid w:val="6C4D7600"/>
    <w:rsid w:val="6C6608D6"/>
    <w:rsid w:val="6C7D5484"/>
    <w:rsid w:val="6C9852E5"/>
    <w:rsid w:val="6CD338C5"/>
    <w:rsid w:val="6CD858AC"/>
    <w:rsid w:val="6CFA7D7F"/>
    <w:rsid w:val="6D840003"/>
    <w:rsid w:val="6D8D7A35"/>
    <w:rsid w:val="6DC85167"/>
    <w:rsid w:val="6E4002B9"/>
    <w:rsid w:val="6E4F523E"/>
    <w:rsid w:val="6E5729A2"/>
    <w:rsid w:val="6E583A1F"/>
    <w:rsid w:val="6E6218E2"/>
    <w:rsid w:val="6EAA495D"/>
    <w:rsid w:val="6EAB742B"/>
    <w:rsid w:val="6EB0558D"/>
    <w:rsid w:val="6EC6113E"/>
    <w:rsid w:val="6EC97476"/>
    <w:rsid w:val="6EF22B0C"/>
    <w:rsid w:val="6EFF1080"/>
    <w:rsid w:val="6F170E2C"/>
    <w:rsid w:val="6F1C670B"/>
    <w:rsid w:val="6F45287E"/>
    <w:rsid w:val="6FD821D4"/>
    <w:rsid w:val="70531535"/>
    <w:rsid w:val="7056093E"/>
    <w:rsid w:val="70BF0D6E"/>
    <w:rsid w:val="70E01DD1"/>
    <w:rsid w:val="71146B51"/>
    <w:rsid w:val="71161C74"/>
    <w:rsid w:val="71597165"/>
    <w:rsid w:val="717256AD"/>
    <w:rsid w:val="718544F1"/>
    <w:rsid w:val="71BF79B2"/>
    <w:rsid w:val="71DE2066"/>
    <w:rsid w:val="720A152D"/>
    <w:rsid w:val="721F1D01"/>
    <w:rsid w:val="7222649A"/>
    <w:rsid w:val="72BF6B71"/>
    <w:rsid w:val="72D11304"/>
    <w:rsid w:val="730C4186"/>
    <w:rsid w:val="733D2985"/>
    <w:rsid w:val="7341102A"/>
    <w:rsid w:val="73451F7C"/>
    <w:rsid w:val="737974C3"/>
    <w:rsid w:val="73A17E6A"/>
    <w:rsid w:val="73A2551B"/>
    <w:rsid w:val="73E16D57"/>
    <w:rsid w:val="73EE0AE6"/>
    <w:rsid w:val="743C60DA"/>
    <w:rsid w:val="7453624B"/>
    <w:rsid w:val="746049BA"/>
    <w:rsid w:val="74874E5A"/>
    <w:rsid w:val="74A227F4"/>
    <w:rsid w:val="74A2568B"/>
    <w:rsid w:val="74C47F76"/>
    <w:rsid w:val="751E7598"/>
    <w:rsid w:val="752455E6"/>
    <w:rsid w:val="754E3DD7"/>
    <w:rsid w:val="7573132B"/>
    <w:rsid w:val="75DC3A8B"/>
    <w:rsid w:val="75F0787C"/>
    <w:rsid w:val="75F47E3F"/>
    <w:rsid w:val="76021882"/>
    <w:rsid w:val="761715C6"/>
    <w:rsid w:val="76382B60"/>
    <w:rsid w:val="766574D1"/>
    <w:rsid w:val="7671688D"/>
    <w:rsid w:val="767C3DB4"/>
    <w:rsid w:val="76AC50BB"/>
    <w:rsid w:val="76DE1045"/>
    <w:rsid w:val="770E2E0E"/>
    <w:rsid w:val="771463D1"/>
    <w:rsid w:val="77335645"/>
    <w:rsid w:val="774A39DA"/>
    <w:rsid w:val="774F6B0D"/>
    <w:rsid w:val="77543EAD"/>
    <w:rsid w:val="775C0566"/>
    <w:rsid w:val="77777CEB"/>
    <w:rsid w:val="779B02BA"/>
    <w:rsid w:val="77CA4292"/>
    <w:rsid w:val="77D64484"/>
    <w:rsid w:val="77E922B4"/>
    <w:rsid w:val="781617CA"/>
    <w:rsid w:val="786258A4"/>
    <w:rsid w:val="78D0463B"/>
    <w:rsid w:val="7906595E"/>
    <w:rsid w:val="792B000D"/>
    <w:rsid w:val="798B1783"/>
    <w:rsid w:val="798B5582"/>
    <w:rsid w:val="799512A8"/>
    <w:rsid w:val="79A447F7"/>
    <w:rsid w:val="79B2108A"/>
    <w:rsid w:val="79D31950"/>
    <w:rsid w:val="7A182237"/>
    <w:rsid w:val="7A417E6A"/>
    <w:rsid w:val="7A464BD2"/>
    <w:rsid w:val="7A805859"/>
    <w:rsid w:val="7A92024C"/>
    <w:rsid w:val="7A98347A"/>
    <w:rsid w:val="7AA222D1"/>
    <w:rsid w:val="7AC822B7"/>
    <w:rsid w:val="7B0B5BD1"/>
    <w:rsid w:val="7BA53398"/>
    <w:rsid w:val="7BC71689"/>
    <w:rsid w:val="7BE20360"/>
    <w:rsid w:val="7BFE0BED"/>
    <w:rsid w:val="7C1A1A2B"/>
    <w:rsid w:val="7C571BAE"/>
    <w:rsid w:val="7C78688F"/>
    <w:rsid w:val="7C867510"/>
    <w:rsid w:val="7CB11006"/>
    <w:rsid w:val="7CF01DBB"/>
    <w:rsid w:val="7CF45E15"/>
    <w:rsid w:val="7CF9571E"/>
    <w:rsid w:val="7D21376C"/>
    <w:rsid w:val="7D8B198E"/>
    <w:rsid w:val="7D934831"/>
    <w:rsid w:val="7DC554D8"/>
    <w:rsid w:val="7DD75B87"/>
    <w:rsid w:val="7DFC7E2B"/>
    <w:rsid w:val="7E122B46"/>
    <w:rsid w:val="7E2676D0"/>
    <w:rsid w:val="7E350722"/>
    <w:rsid w:val="7E4F73AA"/>
    <w:rsid w:val="7E74200D"/>
    <w:rsid w:val="7E7B6F9A"/>
    <w:rsid w:val="7E94440E"/>
    <w:rsid w:val="7EA22277"/>
    <w:rsid w:val="7EC63541"/>
    <w:rsid w:val="7EE93115"/>
    <w:rsid w:val="7EED4B13"/>
    <w:rsid w:val="7F1C1E8D"/>
    <w:rsid w:val="7F8B1A78"/>
    <w:rsid w:val="7FA418D8"/>
    <w:rsid w:val="7FA92784"/>
    <w:rsid w:val="7FDD570F"/>
    <w:rsid w:val="7FE82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Calibri"/>
      <w:kern w:val="2"/>
      <w:sz w:val="21"/>
      <w:szCs w:val="24"/>
      <w:lang w:val="en-US" w:eastAsia="zh-CN" w:bidi="ar-SA"/>
    </w:rPr>
  </w:style>
  <w:style w:type="paragraph" w:styleId="2">
    <w:name w:val="heading 1"/>
    <w:basedOn w:val="1"/>
    <w:next w:val="1"/>
    <w:link w:val="18"/>
    <w:qFormat/>
    <w:uiPriority w:val="0"/>
    <w:pPr>
      <w:keepNext/>
      <w:keepLines/>
      <w:spacing w:before="120" w:after="120"/>
      <w:jc w:val="center"/>
      <w:outlineLvl w:val="0"/>
    </w:pPr>
    <w:rPr>
      <w:rFonts w:cs="Times New Roman"/>
      <w:b/>
      <w:kern w:val="44"/>
      <w:sz w:val="44"/>
      <w:lang w:val="zh-CN" w:eastAsia="zh-CN"/>
    </w:rPr>
  </w:style>
  <w:style w:type="paragraph" w:styleId="3">
    <w:name w:val="heading 2"/>
    <w:basedOn w:val="1"/>
    <w:next w:val="1"/>
    <w:link w:val="19"/>
    <w:qFormat/>
    <w:uiPriority w:val="0"/>
    <w:pPr>
      <w:keepNext/>
      <w:keepLines/>
      <w:spacing w:before="140" w:after="140" w:line="413" w:lineRule="auto"/>
      <w:jc w:val="center"/>
      <w:outlineLvl w:val="1"/>
    </w:pPr>
    <w:rPr>
      <w:rFonts w:ascii="Arial" w:hAnsi="Arial" w:cs="Times New Roman"/>
      <w:b/>
      <w:sz w:val="28"/>
      <w:lang w:val="zh-CN" w:eastAsia="zh-CN"/>
    </w:rPr>
  </w:style>
  <w:style w:type="paragraph" w:styleId="4">
    <w:name w:val="heading 4"/>
    <w:basedOn w:val="1"/>
    <w:next w:val="1"/>
    <w:qFormat/>
    <w:uiPriority w:val="0"/>
    <w:pPr>
      <w:keepNext/>
      <w:keepLines/>
      <w:outlineLvl w:val="3"/>
    </w:pPr>
    <w:rPr>
      <w:rFonts w:ascii="Arial" w:hAnsi="Arial" w:eastAsia="黑体"/>
      <w:bCs/>
      <w:kern w:val="0"/>
      <w:sz w:val="24"/>
      <w:szCs w:val="28"/>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5">
    <w:name w:val="annotation text"/>
    <w:basedOn w:val="1"/>
    <w:link w:val="20"/>
    <w:unhideWhenUsed/>
    <w:qFormat/>
    <w:uiPriority w:val="99"/>
    <w:pPr>
      <w:jc w:val="left"/>
    </w:pPr>
    <w:rPr>
      <w:rFonts w:cs="Times New Roman"/>
      <w:lang w:val="zh-CN" w:eastAsia="zh-CN"/>
    </w:rPr>
  </w:style>
  <w:style w:type="paragraph" w:styleId="6">
    <w:name w:val="Plain Text"/>
    <w:basedOn w:val="1"/>
    <w:qFormat/>
    <w:uiPriority w:val="99"/>
    <w:rPr>
      <w:rFonts w:ascii="宋体" w:hAnsi="Courier New" w:cs="Courier New"/>
      <w:szCs w:val="21"/>
    </w:rPr>
  </w:style>
  <w:style w:type="paragraph" w:styleId="7">
    <w:name w:val="Balloon Text"/>
    <w:basedOn w:val="1"/>
    <w:link w:val="21"/>
    <w:qFormat/>
    <w:uiPriority w:val="0"/>
    <w:rPr>
      <w:rFonts w:cs="Times New Roman"/>
      <w:sz w:val="18"/>
      <w:szCs w:val="18"/>
      <w:lang w:val="zh-CN" w:eastAsia="zh-CN"/>
    </w:rPr>
  </w:style>
  <w:style w:type="paragraph" w:styleId="8">
    <w:name w:val="footer"/>
    <w:basedOn w:val="1"/>
    <w:link w:val="22"/>
    <w:qFormat/>
    <w:uiPriority w:val="99"/>
    <w:pPr>
      <w:tabs>
        <w:tab w:val="center" w:pos="4153"/>
        <w:tab w:val="right" w:pos="8306"/>
      </w:tabs>
      <w:snapToGrid w:val="0"/>
      <w:jc w:val="left"/>
    </w:pPr>
    <w:rPr>
      <w:rFonts w:cs="Times New Roman"/>
      <w:sz w:val="18"/>
      <w:lang w:val="zh-CN" w:eastAsia="zh-CN"/>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paragraph" w:styleId="11">
    <w:name w:val="annotation subject"/>
    <w:basedOn w:val="5"/>
    <w:next w:val="5"/>
    <w:link w:val="24"/>
    <w:qFormat/>
    <w:uiPriority w:val="0"/>
    <w:rPr>
      <w:b/>
      <w:bCs/>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0"/>
    <w:rPr>
      <w:b/>
    </w:rPr>
  </w:style>
  <w:style w:type="character" w:styleId="16">
    <w:name w:val="Hyperlink"/>
    <w:qFormat/>
    <w:uiPriority w:val="0"/>
    <w:rPr>
      <w:color w:val="0000FF"/>
      <w:u w:val="single"/>
    </w:rPr>
  </w:style>
  <w:style w:type="character" w:styleId="17">
    <w:name w:val="annotation reference"/>
    <w:unhideWhenUsed/>
    <w:qFormat/>
    <w:uiPriority w:val="99"/>
    <w:rPr>
      <w:sz w:val="21"/>
      <w:szCs w:val="21"/>
    </w:rPr>
  </w:style>
  <w:style w:type="character" w:customStyle="1" w:styleId="18">
    <w:name w:val="标题 1 Char"/>
    <w:link w:val="2"/>
    <w:qFormat/>
    <w:uiPriority w:val="0"/>
    <w:rPr>
      <w:rFonts w:ascii="Calibri" w:hAnsi="Calibri" w:eastAsia="仿宋" w:cs="Times New Roman"/>
      <w:b/>
      <w:kern w:val="44"/>
      <w:sz w:val="44"/>
      <w:szCs w:val="24"/>
    </w:rPr>
  </w:style>
  <w:style w:type="character" w:customStyle="1" w:styleId="19">
    <w:name w:val="标题 2 Char"/>
    <w:link w:val="3"/>
    <w:uiPriority w:val="0"/>
    <w:rPr>
      <w:rFonts w:ascii="Arial" w:hAnsi="Arial" w:eastAsia="仿宋"/>
      <w:b/>
      <w:kern w:val="2"/>
      <w:sz w:val="28"/>
      <w:szCs w:val="24"/>
    </w:rPr>
  </w:style>
  <w:style w:type="character" w:customStyle="1" w:styleId="20">
    <w:name w:val="批注文字 Char"/>
    <w:link w:val="5"/>
    <w:qFormat/>
    <w:uiPriority w:val="99"/>
    <w:rPr>
      <w:rFonts w:ascii="Calibri" w:hAnsi="Calibri" w:eastAsia="仿宋" w:cs="Times New Roman"/>
      <w:kern w:val="2"/>
      <w:sz w:val="21"/>
      <w:szCs w:val="24"/>
    </w:rPr>
  </w:style>
  <w:style w:type="character" w:customStyle="1" w:styleId="21">
    <w:name w:val="批注框文本 Char"/>
    <w:link w:val="7"/>
    <w:qFormat/>
    <w:uiPriority w:val="0"/>
    <w:rPr>
      <w:rFonts w:ascii="Calibri" w:hAnsi="Calibri" w:eastAsia="仿宋" w:cs="Times New Roman"/>
      <w:kern w:val="2"/>
      <w:sz w:val="18"/>
      <w:szCs w:val="18"/>
    </w:rPr>
  </w:style>
  <w:style w:type="character" w:customStyle="1" w:styleId="22">
    <w:name w:val="页脚 Char"/>
    <w:link w:val="8"/>
    <w:qFormat/>
    <w:uiPriority w:val="99"/>
    <w:rPr>
      <w:rFonts w:eastAsia="仿宋"/>
      <w:kern w:val="2"/>
      <w:sz w:val="18"/>
      <w:szCs w:val="24"/>
    </w:rPr>
  </w:style>
  <w:style w:type="paragraph" w:customStyle="1" w:styleId="23">
    <w:name w:val="目录 11"/>
    <w:basedOn w:val="1"/>
    <w:next w:val="1"/>
    <w:qFormat/>
    <w:uiPriority w:val="0"/>
  </w:style>
  <w:style w:type="character" w:customStyle="1" w:styleId="24">
    <w:name w:val="批注主题 Char"/>
    <w:link w:val="11"/>
    <w:qFormat/>
    <w:uiPriority w:val="0"/>
    <w:rPr>
      <w:rFonts w:ascii="Calibri" w:hAnsi="Calibri" w:eastAsia="仿宋" w:cs="Times New Roman"/>
      <w:b/>
      <w:bCs/>
      <w:kern w:val="2"/>
      <w:sz w:val="21"/>
      <w:szCs w:val="24"/>
    </w:rPr>
  </w:style>
  <w:style w:type="paragraph" w:customStyle="1" w:styleId="25">
    <w:name w:val="WPSOffice手动目录 2"/>
    <w:qFormat/>
    <w:uiPriority w:val="0"/>
    <w:pPr>
      <w:ind w:left="200" w:leftChars="200"/>
    </w:pPr>
    <w:rPr>
      <w:rFonts w:ascii="Calibri" w:hAnsi="Calibri" w:eastAsia="宋体" w:cs="Calibri"/>
      <w:lang w:val="en-US" w:eastAsia="zh-CN" w:bidi="ar-SA"/>
    </w:rPr>
  </w:style>
  <w:style w:type="paragraph" w:customStyle="1" w:styleId="26">
    <w:name w:val="样式H"/>
    <w:basedOn w:val="2"/>
    <w:next w:val="1"/>
    <w:qFormat/>
    <w:uiPriority w:val="0"/>
    <w:pPr>
      <w:spacing w:before="100" w:line="500" w:lineRule="exact"/>
    </w:pPr>
  </w:style>
  <w:style w:type="paragraph" w:customStyle="1" w:styleId="27">
    <w:name w:val="样式1"/>
    <w:basedOn w:val="1"/>
    <w:qFormat/>
    <w:uiPriority w:val="0"/>
    <w:pPr>
      <w:numPr>
        <w:ilvl w:val="0"/>
        <w:numId w:val="1"/>
      </w:numPr>
      <w:adjustRightInd w:val="0"/>
      <w:textAlignment w:val="baseline"/>
    </w:pPr>
    <w:rPr>
      <w:rFonts w:ascii="宋体" w:hAnsi="宋体"/>
      <w:kern w:val="0"/>
      <w:szCs w:val="21"/>
    </w:rPr>
  </w:style>
  <w:style w:type="paragraph" w:customStyle="1" w:styleId="28">
    <w:name w:val="列出段落"/>
    <w:basedOn w:val="1"/>
    <w:qFormat/>
    <w:uiPriority w:val="34"/>
    <w:pPr>
      <w:ind w:firstLine="420" w:firstLineChars="200"/>
    </w:pPr>
  </w:style>
  <w:style w:type="paragraph" w:customStyle="1" w:styleId="29">
    <w:name w:val="样式N"/>
    <w:basedOn w:val="26"/>
    <w:qFormat/>
    <w:uiPriority w:val="0"/>
    <w:rPr>
      <w:sz w:val="30"/>
    </w:rPr>
  </w:style>
  <w:style w:type="paragraph" w:customStyle="1" w:styleId="30">
    <w:name w:val="列出段落11"/>
    <w:basedOn w:val="1"/>
    <w:qFormat/>
    <w:uiPriority w:val="34"/>
    <w:pPr>
      <w:ind w:firstLine="420" w:firstLineChars="200"/>
    </w:pPr>
    <w:rPr>
      <w:rFonts w:eastAsia="宋体" w:cs="Times New Roman"/>
      <w:szCs w:val="22"/>
      <w:lang w:val="zh-CN"/>
    </w:rPr>
  </w:style>
  <w:style w:type="paragraph" w:customStyle="1" w:styleId="31">
    <w:name w:val="WPSOffice手动目录 1"/>
    <w:qFormat/>
    <w:uiPriority w:val="0"/>
    <w:rPr>
      <w:rFonts w:ascii="Times New Roman" w:hAnsi="Times New Roman" w:eastAsia="宋体" w:cs="Calibri"/>
      <w:lang w:val="en-US" w:eastAsia="zh-CN" w:bidi="ar-SA"/>
    </w:rPr>
  </w:style>
  <w:style w:type="paragraph" w:customStyle="1" w:styleId="32">
    <w:name w:val="WPSOffice手动目录 3"/>
    <w:qFormat/>
    <w:uiPriority w:val="0"/>
    <w:pPr>
      <w:ind w:left="400" w:leftChars="400"/>
    </w:pPr>
    <w:rPr>
      <w:rFonts w:ascii="Calibri" w:hAnsi="Calibri" w:eastAsia="宋体" w:cs="Calibri"/>
      <w:lang w:val="en-US" w:eastAsia="zh-CN" w:bidi="ar-SA"/>
    </w:rPr>
  </w:style>
  <w:style w:type="paragraph" w:customStyle="1" w:styleId="3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66</Pages>
  <Words>6394</Words>
  <Characters>36446</Characters>
  <Lines>303</Lines>
  <Paragraphs>85</Paragraphs>
  <TotalTime>11</TotalTime>
  <ScaleCrop>false</ScaleCrop>
  <LinksUpToDate>false</LinksUpToDate>
  <CharactersWithSpaces>42755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2023-09-04T08:57:00Z</dcterms:created>
  <dc:creator>meimei</dc:creator>
  <cp:lastModifiedBy>Ялюблютебя</cp:lastModifiedBy>
  <cp:lastPrinted>2019-12-27T06:09:00Z</cp:lastPrinted>
  <dcterms:modified xsi:type="dcterms:W3CDTF">2023-09-06T06:38:16Z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EB84154A65FF4BA7BC5C655053FA1FC8_12</vt:lpwstr>
  </property>
</Properties>
</file>